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3D11" w14:textId="120C1495" w:rsidR="00A44B02" w:rsidRDefault="00A44B02" w:rsidP="001124AF"/>
    <w:p w14:paraId="2B2D363C" w14:textId="77777777" w:rsidR="001124AF" w:rsidRDefault="001124AF" w:rsidP="001124AF"/>
    <w:p w14:paraId="3D8A6BDC" w14:textId="77777777" w:rsidR="001124AF" w:rsidRDefault="001124AF" w:rsidP="001124AF"/>
    <w:p w14:paraId="1CB3664F" w14:textId="77777777" w:rsidR="001124AF" w:rsidRDefault="001124AF" w:rsidP="001124AF"/>
    <w:p w14:paraId="304914FE" w14:textId="77777777" w:rsidR="001124AF" w:rsidRDefault="001124AF" w:rsidP="001124AF"/>
    <w:p w14:paraId="36C38386" w14:textId="77777777" w:rsidR="001124AF" w:rsidRDefault="001124AF" w:rsidP="001124AF"/>
    <w:p w14:paraId="6EAC8516" w14:textId="4F6447D3" w:rsidR="001124AF" w:rsidRPr="001124AF" w:rsidRDefault="001124AF" w:rsidP="001124AF">
      <w:pPr>
        <w:pStyle w:val="Title"/>
        <w:rPr>
          <w:b/>
          <w:bCs/>
          <w:sz w:val="72"/>
          <w:szCs w:val="144"/>
        </w:rPr>
      </w:pPr>
      <w:r w:rsidRPr="001124AF">
        <w:rPr>
          <w:b/>
          <w:bCs/>
          <w:sz w:val="72"/>
          <w:szCs w:val="144"/>
        </w:rPr>
        <w:t>Request for Proposals</w:t>
      </w:r>
    </w:p>
    <w:p w14:paraId="342241EF" w14:textId="63560423" w:rsidR="001124AF" w:rsidRPr="001124AF" w:rsidRDefault="001124AF" w:rsidP="001124AF">
      <w:pPr>
        <w:jc w:val="center"/>
        <w:rPr>
          <w:sz w:val="36"/>
          <w:szCs w:val="36"/>
        </w:rPr>
      </w:pPr>
      <w:r w:rsidRPr="001124AF">
        <w:rPr>
          <w:sz w:val="36"/>
          <w:szCs w:val="36"/>
        </w:rPr>
        <w:t>Annual Audit</w:t>
      </w:r>
      <w:r w:rsidR="00885FDC">
        <w:rPr>
          <w:sz w:val="36"/>
          <w:szCs w:val="36"/>
        </w:rPr>
        <w:t>, Tax Returns</w:t>
      </w:r>
      <w:r w:rsidRPr="001124AF">
        <w:rPr>
          <w:sz w:val="36"/>
          <w:szCs w:val="36"/>
        </w:rPr>
        <w:t xml:space="preserve"> and Internal Control and Compliance Reports</w:t>
      </w:r>
      <w:r w:rsidR="00AF3E45">
        <w:rPr>
          <w:sz w:val="36"/>
          <w:szCs w:val="36"/>
        </w:rPr>
        <w:t xml:space="preserve"> for Fiscal Year 202</w:t>
      </w:r>
      <w:r w:rsidR="000102F2">
        <w:rPr>
          <w:sz w:val="36"/>
          <w:szCs w:val="36"/>
        </w:rPr>
        <w:t>6</w:t>
      </w:r>
    </w:p>
    <w:p w14:paraId="6698FC30" w14:textId="77777777" w:rsidR="001124AF" w:rsidRDefault="001124AF" w:rsidP="001124AF">
      <w:pPr>
        <w:jc w:val="center"/>
        <w:rPr>
          <w:sz w:val="32"/>
          <w:szCs w:val="28"/>
        </w:rPr>
      </w:pPr>
    </w:p>
    <w:p w14:paraId="6AD3AF3A" w14:textId="6A4DC9F6" w:rsidR="001124AF" w:rsidRPr="001124AF" w:rsidRDefault="000102F2" w:rsidP="001124AF">
      <w:pPr>
        <w:jc w:val="center"/>
        <w:rPr>
          <w:sz w:val="32"/>
          <w:szCs w:val="28"/>
        </w:rPr>
      </w:pPr>
      <w:r>
        <w:rPr>
          <w:sz w:val="32"/>
          <w:szCs w:val="28"/>
        </w:rPr>
        <w:t>October 5, 2025</w:t>
      </w:r>
    </w:p>
    <w:p w14:paraId="6AFED75A" w14:textId="77777777" w:rsidR="001124AF" w:rsidRDefault="001124AF" w:rsidP="001124AF"/>
    <w:p w14:paraId="33314EAF" w14:textId="77777777" w:rsidR="001124AF" w:rsidRDefault="001124AF" w:rsidP="001124AF"/>
    <w:p w14:paraId="65DC4FAE" w14:textId="77777777" w:rsidR="001124AF" w:rsidRDefault="001124AF" w:rsidP="001124AF"/>
    <w:p w14:paraId="0E6FE490" w14:textId="77777777" w:rsidR="001124AF" w:rsidRDefault="001124AF" w:rsidP="001124AF"/>
    <w:p w14:paraId="74C5AFEE" w14:textId="77777777" w:rsidR="001124AF" w:rsidRDefault="001124AF" w:rsidP="001124AF"/>
    <w:p w14:paraId="63EFFD2A" w14:textId="77777777" w:rsidR="001124AF" w:rsidRDefault="001124AF" w:rsidP="001124AF"/>
    <w:p w14:paraId="1CE088D4" w14:textId="77777777" w:rsidR="001124AF" w:rsidRDefault="001124AF" w:rsidP="001124AF"/>
    <w:p w14:paraId="2B3B023D" w14:textId="513B16B8" w:rsidR="001124AF" w:rsidRDefault="00637FD7" w:rsidP="00637FD7">
      <w:pPr>
        <w:jc w:val="center"/>
      </w:pPr>
      <w:r>
        <w:t>Proposal Due Date:</w:t>
      </w:r>
      <w:r w:rsidR="001124AF">
        <w:t xml:space="preserve"> </w:t>
      </w:r>
      <w:r w:rsidR="000102F2" w:rsidRPr="000102F2">
        <w:rPr>
          <w:b/>
          <w:bCs/>
        </w:rPr>
        <w:t>Monday,</w:t>
      </w:r>
      <w:r w:rsidR="000102F2">
        <w:t xml:space="preserve"> </w:t>
      </w:r>
      <w:r w:rsidR="000102F2">
        <w:rPr>
          <w:b/>
          <w:bCs/>
        </w:rPr>
        <w:t>November 17, 2025</w:t>
      </w:r>
      <w:r w:rsidR="001124AF">
        <w:br w:type="page"/>
      </w:r>
    </w:p>
    <w:p w14:paraId="308AA35A" w14:textId="0EC8EB37" w:rsidR="001124AF" w:rsidRPr="00637FD7" w:rsidRDefault="00A128D9" w:rsidP="00637FD7">
      <w:pPr>
        <w:pStyle w:val="Heading1"/>
      </w:pPr>
      <w:r>
        <w:t>Proposal Engagements</w:t>
      </w:r>
    </w:p>
    <w:p w14:paraId="24BC2708" w14:textId="5CB6FBFF" w:rsidR="001124AF" w:rsidRPr="001124AF" w:rsidRDefault="001124AF" w:rsidP="00637FD7">
      <w:pPr>
        <w:spacing w:after="160" w:line="259" w:lineRule="auto"/>
        <w:jc w:val="both"/>
        <w:rPr>
          <w:rFonts w:cs="Tahoma"/>
          <w:szCs w:val="24"/>
        </w:rPr>
      </w:pPr>
      <w:r w:rsidRPr="001124AF">
        <w:rPr>
          <w:rFonts w:cs="Tahoma"/>
          <w:szCs w:val="24"/>
        </w:rPr>
        <w:t xml:space="preserve">This Request for Proposals (RFP) invites independent Certified Public Accountants to submit proposals for one or </w:t>
      </w:r>
      <w:r w:rsidR="00637FD7" w:rsidRPr="001124AF">
        <w:rPr>
          <w:rFonts w:cs="Tahoma"/>
          <w:szCs w:val="24"/>
        </w:rPr>
        <w:t>both engagements below</w:t>
      </w:r>
      <w:r w:rsidRPr="001124AF">
        <w:rPr>
          <w:rFonts w:cs="Tahoma"/>
          <w:szCs w:val="24"/>
        </w:rPr>
        <w:t xml:space="preserve">. </w:t>
      </w:r>
      <w:r w:rsidRPr="00637FD7">
        <w:rPr>
          <w:rFonts w:cs="Tahoma"/>
          <w:szCs w:val="24"/>
        </w:rPr>
        <w:t xml:space="preserve">If </w:t>
      </w:r>
      <w:proofErr w:type="gramStart"/>
      <w:r w:rsidRPr="00637FD7">
        <w:rPr>
          <w:rFonts w:cs="Tahoma"/>
          <w:szCs w:val="24"/>
        </w:rPr>
        <w:t>proposing on</w:t>
      </w:r>
      <w:proofErr w:type="gramEnd"/>
      <w:r w:rsidRPr="00637FD7">
        <w:rPr>
          <w:rFonts w:cs="Tahoma"/>
          <w:szCs w:val="24"/>
        </w:rPr>
        <w:t xml:space="preserve"> both, they need not be under separate cover.</w:t>
      </w:r>
    </w:p>
    <w:p w14:paraId="5B66D087" w14:textId="4B6C1722" w:rsidR="001124AF" w:rsidRPr="001124AF" w:rsidRDefault="001124AF" w:rsidP="00637FD7">
      <w:pPr>
        <w:tabs>
          <w:tab w:val="left" w:pos="720"/>
        </w:tabs>
        <w:spacing w:after="160" w:line="259" w:lineRule="auto"/>
        <w:ind w:left="720" w:hanging="360"/>
        <w:jc w:val="both"/>
        <w:rPr>
          <w:rFonts w:cs="Tahoma"/>
          <w:szCs w:val="24"/>
        </w:rPr>
      </w:pPr>
      <w:r w:rsidRPr="001124AF">
        <w:rPr>
          <w:rFonts w:cs="Tahoma"/>
          <w:szCs w:val="24"/>
        </w:rPr>
        <w:t>1.</w:t>
      </w:r>
      <w:r w:rsidRPr="001124AF">
        <w:rPr>
          <w:rFonts w:cs="Tahoma"/>
          <w:szCs w:val="24"/>
        </w:rPr>
        <w:tab/>
        <w:t>Annual audit and internal control</w:t>
      </w:r>
      <w:r w:rsidR="00637FD7">
        <w:rPr>
          <w:rFonts w:cs="Tahoma"/>
          <w:szCs w:val="24"/>
        </w:rPr>
        <w:t xml:space="preserve"> and </w:t>
      </w:r>
      <w:r w:rsidRPr="001124AF">
        <w:rPr>
          <w:rFonts w:cs="Tahoma"/>
          <w:szCs w:val="24"/>
        </w:rPr>
        <w:t xml:space="preserve">compliance reports (including UNIFORM GUIDANCE requirements) for HADCO for the fiscal year ending March 31, </w:t>
      </w:r>
      <w:r w:rsidR="00637FD7">
        <w:rPr>
          <w:rFonts w:cs="Tahoma"/>
          <w:szCs w:val="24"/>
        </w:rPr>
        <w:t>202</w:t>
      </w:r>
      <w:r w:rsidR="000102F2">
        <w:rPr>
          <w:rFonts w:cs="Tahoma"/>
          <w:szCs w:val="24"/>
        </w:rPr>
        <w:t>6</w:t>
      </w:r>
      <w:r w:rsidRPr="001124AF">
        <w:rPr>
          <w:rFonts w:cs="Tahoma"/>
          <w:szCs w:val="24"/>
        </w:rPr>
        <w:t>, with an option to renew for up to three additional years</w:t>
      </w:r>
      <w:r w:rsidR="00637FD7">
        <w:rPr>
          <w:rFonts w:cs="Tahoma"/>
          <w:szCs w:val="24"/>
        </w:rPr>
        <w:t xml:space="preserve">. </w:t>
      </w:r>
    </w:p>
    <w:p w14:paraId="5BF62136" w14:textId="462D9BB1" w:rsidR="001124AF" w:rsidRPr="001124AF" w:rsidRDefault="001124AF" w:rsidP="00637FD7">
      <w:pPr>
        <w:numPr>
          <w:ilvl w:val="0"/>
          <w:numId w:val="29"/>
        </w:numPr>
        <w:spacing w:after="0" w:line="259" w:lineRule="auto"/>
        <w:jc w:val="both"/>
        <w:rPr>
          <w:rFonts w:cs="Tahoma"/>
          <w:szCs w:val="24"/>
        </w:rPr>
      </w:pPr>
      <w:r w:rsidRPr="001124AF">
        <w:rPr>
          <w:rFonts w:cs="Tahoma"/>
          <w:szCs w:val="24"/>
        </w:rPr>
        <w:t xml:space="preserve">Annual tax returns and audit reports for the year ending </w:t>
      </w:r>
      <w:r w:rsidR="008B3344">
        <w:rPr>
          <w:rFonts w:cs="Tahoma"/>
          <w:szCs w:val="24"/>
        </w:rPr>
        <w:t>March 31</w:t>
      </w:r>
      <w:r w:rsidRPr="001124AF">
        <w:rPr>
          <w:rFonts w:cs="Tahoma"/>
          <w:szCs w:val="24"/>
        </w:rPr>
        <w:t xml:space="preserve">, </w:t>
      </w:r>
      <w:r w:rsidR="00637FD7">
        <w:rPr>
          <w:rFonts w:cs="Tahoma"/>
          <w:szCs w:val="24"/>
        </w:rPr>
        <w:t>202</w:t>
      </w:r>
      <w:r w:rsidR="000102F2">
        <w:rPr>
          <w:rFonts w:cs="Tahoma"/>
          <w:szCs w:val="24"/>
        </w:rPr>
        <w:t>6</w:t>
      </w:r>
      <w:r w:rsidRPr="001124AF">
        <w:rPr>
          <w:rFonts w:cs="Tahoma"/>
          <w:szCs w:val="24"/>
        </w:rPr>
        <w:t xml:space="preserve">, with an option to renew for up to </w:t>
      </w:r>
      <w:r w:rsidR="003967B3">
        <w:rPr>
          <w:rFonts w:cs="Tahoma"/>
          <w:szCs w:val="24"/>
        </w:rPr>
        <w:t>three</w:t>
      </w:r>
      <w:r w:rsidRPr="001124AF">
        <w:rPr>
          <w:rFonts w:cs="Tahoma"/>
          <w:szCs w:val="24"/>
        </w:rPr>
        <w:t xml:space="preserve"> additional years, for the following partnerships:</w:t>
      </w:r>
    </w:p>
    <w:p w14:paraId="0C64FE58" w14:textId="7190FEA5" w:rsidR="001124AF" w:rsidRPr="001124AF" w:rsidRDefault="008B3344" w:rsidP="00637FD7">
      <w:pPr>
        <w:numPr>
          <w:ilvl w:val="0"/>
          <w:numId w:val="19"/>
        </w:numPr>
        <w:tabs>
          <w:tab w:val="clear" w:pos="1080"/>
          <w:tab w:val="num" w:pos="1440"/>
        </w:tabs>
        <w:spacing w:after="160" w:line="259" w:lineRule="auto"/>
        <w:ind w:left="1440"/>
        <w:jc w:val="both"/>
        <w:rPr>
          <w:rFonts w:cs="Tahoma"/>
          <w:szCs w:val="24"/>
        </w:rPr>
      </w:pPr>
      <w:r>
        <w:rPr>
          <w:rFonts w:cs="Tahoma"/>
          <w:szCs w:val="24"/>
        </w:rPr>
        <w:t>Douglas Multi- Family Property Management Corporation</w:t>
      </w:r>
    </w:p>
    <w:p w14:paraId="1C5033E7" w14:textId="593CF867" w:rsidR="001124AF" w:rsidRPr="00637FD7" w:rsidRDefault="001124AF" w:rsidP="00E74598">
      <w:pPr>
        <w:pStyle w:val="Heading2"/>
      </w:pPr>
      <w:r w:rsidRPr="00637FD7">
        <w:t>General Background</w:t>
      </w:r>
    </w:p>
    <w:p w14:paraId="77949DA0" w14:textId="2D7A0E4A" w:rsidR="001124AF" w:rsidRDefault="001124AF" w:rsidP="00637FD7">
      <w:pPr>
        <w:spacing w:after="160" w:line="259" w:lineRule="auto"/>
        <w:jc w:val="both"/>
        <w:rPr>
          <w:rFonts w:cs="Tahoma"/>
          <w:szCs w:val="24"/>
        </w:rPr>
      </w:pPr>
      <w:r w:rsidRPr="001124AF">
        <w:rPr>
          <w:rFonts w:cs="Tahoma"/>
          <w:szCs w:val="24"/>
        </w:rPr>
        <w:t xml:space="preserve">The Housing Authority of Douglas County, Oregon (HADCO) is a public municipal </w:t>
      </w:r>
      <w:proofErr w:type="gramStart"/>
      <w:r w:rsidRPr="001124AF">
        <w:rPr>
          <w:rFonts w:cs="Tahoma"/>
          <w:szCs w:val="24"/>
        </w:rPr>
        <w:t>corporation</w:t>
      </w:r>
      <w:proofErr w:type="gramEnd"/>
      <w:r w:rsidRPr="001124AF">
        <w:rPr>
          <w:rFonts w:cs="Tahoma"/>
          <w:szCs w:val="24"/>
        </w:rPr>
        <w:t xml:space="preserve"> first organized in 1944.</w:t>
      </w:r>
      <w:r w:rsidR="00637FD7">
        <w:rPr>
          <w:rFonts w:cs="Tahoma"/>
          <w:szCs w:val="24"/>
        </w:rPr>
        <w:t xml:space="preserve"> </w:t>
      </w:r>
      <w:r w:rsidRPr="001124AF">
        <w:rPr>
          <w:rFonts w:cs="Tahoma"/>
          <w:szCs w:val="24"/>
        </w:rPr>
        <w:t xml:space="preserve">HADCO is a leading affordable housing provider in </w:t>
      </w:r>
      <w:r w:rsidR="00637FD7" w:rsidRPr="001124AF">
        <w:rPr>
          <w:rFonts w:cs="Tahoma"/>
          <w:szCs w:val="24"/>
        </w:rPr>
        <w:t>Douglas</w:t>
      </w:r>
      <w:r w:rsidRPr="001124AF">
        <w:rPr>
          <w:rFonts w:cs="Tahoma"/>
          <w:szCs w:val="24"/>
        </w:rPr>
        <w:t xml:space="preserve"> County serving approximately 1100 households. It achieves its mission</w:t>
      </w:r>
      <w:r w:rsidR="00637FD7">
        <w:rPr>
          <w:rFonts w:cs="Tahoma"/>
          <w:szCs w:val="24"/>
        </w:rPr>
        <w:t xml:space="preserve"> of providing, “…</w:t>
      </w:r>
      <w:r w:rsidRPr="001124AF">
        <w:rPr>
          <w:rFonts w:cs="Tahoma"/>
          <w:szCs w:val="24"/>
        </w:rPr>
        <w:t>the opportunity for affordable housing that is safe, decent, sanitary</w:t>
      </w:r>
      <w:r w:rsidR="0059151C">
        <w:rPr>
          <w:rFonts w:cs="Tahoma"/>
          <w:szCs w:val="24"/>
        </w:rPr>
        <w:t>,</w:t>
      </w:r>
      <w:r w:rsidRPr="001124AF">
        <w:rPr>
          <w:rFonts w:cs="Tahoma"/>
          <w:szCs w:val="24"/>
        </w:rPr>
        <w:t xml:space="preserve"> and free from discrimination</w:t>
      </w:r>
      <w:r w:rsidR="00637FD7">
        <w:rPr>
          <w:rFonts w:cs="Tahoma"/>
          <w:szCs w:val="24"/>
        </w:rPr>
        <w:t>,</w:t>
      </w:r>
      <w:r w:rsidRPr="001124AF">
        <w:rPr>
          <w:rFonts w:cs="Tahoma"/>
          <w:szCs w:val="24"/>
        </w:rPr>
        <w:t>” by building positive relationships among its partners, clients, and collaborators and through an emphasis on providing a continuum of housing programs and related services to low-income households.</w:t>
      </w:r>
      <w:r w:rsidR="0059151C">
        <w:rPr>
          <w:rFonts w:cs="Tahoma"/>
          <w:szCs w:val="24"/>
        </w:rPr>
        <w:t xml:space="preserve"> </w:t>
      </w:r>
    </w:p>
    <w:p w14:paraId="40AB5FD7" w14:textId="3F6F759B" w:rsidR="0086777C" w:rsidRPr="00A128D9" w:rsidRDefault="0059151C" w:rsidP="00A128D9">
      <w:pPr>
        <w:spacing w:after="160" w:line="259" w:lineRule="auto"/>
        <w:jc w:val="both"/>
        <w:rPr>
          <w:rFonts w:cs="Tahoma"/>
          <w:szCs w:val="24"/>
        </w:rPr>
      </w:pPr>
      <w:r>
        <w:rPr>
          <w:rFonts w:cs="Tahoma"/>
          <w:szCs w:val="24"/>
        </w:rPr>
        <w:t xml:space="preserve">HADCO established Douglas Multi-Family Property Management (DMPM) as a supporting corporation which is guided by HADCO’s mission principles. DMPM manages multi-family projects owned by HADCO. </w:t>
      </w:r>
    </w:p>
    <w:p w14:paraId="26201D46" w14:textId="2CC5F095" w:rsidR="001124AF" w:rsidRPr="001124AF" w:rsidRDefault="001124AF" w:rsidP="00637FD7">
      <w:pPr>
        <w:spacing w:after="160" w:line="259" w:lineRule="auto"/>
        <w:jc w:val="both"/>
        <w:rPr>
          <w:rFonts w:cs="Tahoma"/>
          <w:szCs w:val="24"/>
          <w:u w:val="single"/>
        </w:rPr>
      </w:pPr>
      <w:r w:rsidRPr="001124AF">
        <w:rPr>
          <w:rFonts w:cs="Tahoma"/>
          <w:szCs w:val="24"/>
          <w:u w:val="single"/>
        </w:rPr>
        <w:t>Programs Administered by HADCO</w:t>
      </w:r>
    </w:p>
    <w:p w14:paraId="707E8A44" w14:textId="418B3A1B" w:rsidR="0059151C" w:rsidRDefault="001124AF" w:rsidP="0059151C">
      <w:pPr>
        <w:pStyle w:val="ListParagraph"/>
        <w:numPr>
          <w:ilvl w:val="0"/>
          <w:numId w:val="31"/>
        </w:numPr>
        <w:spacing w:after="160" w:line="259" w:lineRule="auto"/>
        <w:jc w:val="both"/>
        <w:rPr>
          <w:rFonts w:cs="Tahoma"/>
          <w:szCs w:val="24"/>
        </w:rPr>
      </w:pPr>
      <w:r w:rsidRPr="0059151C">
        <w:rPr>
          <w:rFonts w:cs="Tahoma"/>
          <w:szCs w:val="24"/>
        </w:rPr>
        <w:t>98 multi-family units subsidized by Rural Development.</w:t>
      </w:r>
      <w:r w:rsidR="0059151C">
        <w:rPr>
          <w:rFonts w:cs="Tahoma"/>
          <w:szCs w:val="24"/>
        </w:rPr>
        <w:t xml:space="preserve"> </w:t>
      </w:r>
    </w:p>
    <w:p w14:paraId="3CFEBBCB" w14:textId="13773AF5" w:rsidR="0059151C" w:rsidRDefault="001124AF" w:rsidP="0059151C">
      <w:pPr>
        <w:pStyle w:val="ListParagraph"/>
        <w:numPr>
          <w:ilvl w:val="0"/>
          <w:numId w:val="31"/>
        </w:numPr>
        <w:spacing w:after="160" w:line="259" w:lineRule="auto"/>
        <w:jc w:val="both"/>
        <w:rPr>
          <w:rFonts w:cs="Tahoma"/>
          <w:szCs w:val="24"/>
        </w:rPr>
      </w:pPr>
      <w:r w:rsidRPr="0059151C">
        <w:rPr>
          <w:rFonts w:cs="Tahoma"/>
          <w:szCs w:val="24"/>
        </w:rPr>
        <w:t>35 multi-family elderly/disabled units subsidized by HUD through Oregon Housing and Community Services.</w:t>
      </w:r>
      <w:r w:rsidR="0059151C">
        <w:rPr>
          <w:rFonts w:cs="Tahoma"/>
          <w:szCs w:val="24"/>
        </w:rPr>
        <w:t xml:space="preserve"> </w:t>
      </w:r>
    </w:p>
    <w:p w14:paraId="6FA345A9" w14:textId="7D5F2EB5" w:rsidR="0059151C" w:rsidRDefault="001124AF" w:rsidP="0059151C">
      <w:pPr>
        <w:pStyle w:val="ListParagraph"/>
        <w:numPr>
          <w:ilvl w:val="0"/>
          <w:numId w:val="31"/>
        </w:numPr>
        <w:spacing w:after="160" w:line="259" w:lineRule="auto"/>
        <w:jc w:val="both"/>
        <w:rPr>
          <w:rFonts w:cs="Tahoma"/>
          <w:szCs w:val="24"/>
        </w:rPr>
      </w:pPr>
      <w:r w:rsidRPr="0059151C">
        <w:rPr>
          <w:rFonts w:cs="Tahoma"/>
          <w:szCs w:val="24"/>
        </w:rPr>
        <w:t xml:space="preserve">70 </w:t>
      </w:r>
      <w:r w:rsidR="003967B3">
        <w:rPr>
          <w:rFonts w:cs="Tahoma"/>
          <w:szCs w:val="24"/>
        </w:rPr>
        <w:t>tax credit units owned by HADCO.</w:t>
      </w:r>
      <w:r w:rsidRPr="0059151C">
        <w:rPr>
          <w:rFonts w:cs="Tahoma"/>
          <w:szCs w:val="24"/>
        </w:rPr>
        <w:t xml:space="preserve"> </w:t>
      </w:r>
    </w:p>
    <w:p w14:paraId="69710D31" w14:textId="2E9F1D67" w:rsidR="001124AF" w:rsidRDefault="001124AF" w:rsidP="0059151C">
      <w:pPr>
        <w:pStyle w:val="ListParagraph"/>
        <w:numPr>
          <w:ilvl w:val="0"/>
          <w:numId w:val="31"/>
        </w:numPr>
        <w:spacing w:after="160" w:line="259" w:lineRule="auto"/>
        <w:jc w:val="both"/>
        <w:rPr>
          <w:rFonts w:cs="Tahoma"/>
          <w:szCs w:val="24"/>
        </w:rPr>
      </w:pPr>
      <w:r w:rsidRPr="0059151C">
        <w:rPr>
          <w:rFonts w:cs="Tahoma"/>
          <w:szCs w:val="24"/>
        </w:rPr>
        <w:t xml:space="preserve">65 </w:t>
      </w:r>
      <w:r w:rsidR="003967B3">
        <w:rPr>
          <w:rFonts w:cs="Tahoma"/>
          <w:szCs w:val="24"/>
        </w:rPr>
        <w:t xml:space="preserve">tax credit </w:t>
      </w:r>
      <w:r w:rsidRPr="0059151C">
        <w:rPr>
          <w:rFonts w:cs="Tahoma"/>
          <w:szCs w:val="24"/>
        </w:rPr>
        <w:t xml:space="preserve">units owned </w:t>
      </w:r>
      <w:r w:rsidR="003967B3">
        <w:rPr>
          <w:rFonts w:cs="Tahoma"/>
          <w:szCs w:val="24"/>
        </w:rPr>
        <w:t>by HADCO.</w:t>
      </w:r>
    </w:p>
    <w:p w14:paraId="6077F1E3" w14:textId="327DFDC0" w:rsidR="0059151C" w:rsidRDefault="003967B3" w:rsidP="0059151C">
      <w:pPr>
        <w:pStyle w:val="ListParagraph"/>
        <w:numPr>
          <w:ilvl w:val="0"/>
          <w:numId w:val="31"/>
        </w:numPr>
        <w:spacing w:after="160" w:line="259" w:lineRule="auto"/>
        <w:jc w:val="both"/>
        <w:rPr>
          <w:rFonts w:cs="Tahoma"/>
          <w:szCs w:val="24"/>
        </w:rPr>
      </w:pPr>
      <w:r>
        <w:rPr>
          <w:rFonts w:cs="Tahoma"/>
          <w:szCs w:val="24"/>
        </w:rPr>
        <w:t>7</w:t>
      </w:r>
      <w:r w:rsidR="000102F2">
        <w:rPr>
          <w:rFonts w:cs="Tahoma"/>
          <w:szCs w:val="24"/>
        </w:rPr>
        <w:t>50</w:t>
      </w:r>
      <w:r w:rsidR="0059151C">
        <w:rPr>
          <w:rFonts w:cs="Tahoma"/>
          <w:szCs w:val="24"/>
        </w:rPr>
        <w:t xml:space="preserve"> Section 8 tenant-based Housing Choice Vouchers. </w:t>
      </w:r>
    </w:p>
    <w:p w14:paraId="0CF620F9" w14:textId="0B379197" w:rsidR="0059151C" w:rsidRDefault="003967B3" w:rsidP="0059151C">
      <w:pPr>
        <w:pStyle w:val="ListParagraph"/>
        <w:numPr>
          <w:ilvl w:val="0"/>
          <w:numId w:val="31"/>
        </w:numPr>
        <w:spacing w:after="160" w:line="259" w:lineRule="auto"/>
        <w:jc w:val="both"/>
        <w:rPr>
          <w:rFonts w:cs="Tahoma"/>
          <w:szCs w:val="24"/>
        </w:rPr>
      </w:pPr>
      <w:r>
        <w:rPr>
          <w:rFonts w:cs="Tahoma"/>
          <w:szCs w:val="24"/>
        </w:rPr>
        <w:t>111</w:t>
      </w:r>
      <w:r w:rsidR="0059151C">
        <w:rPr>
          <w:rFonts w:cs="Tahoma"/>
          <w:szCs w:val="24"/>
        </w:rPr>
        <w:t xml:space="preserve"> Section 8 VASH vouchers specifically available to eligible Veterans. </w:t>
      </w:r>
    </w:p>
    <w:p w14:paraId="329AF21C" w14:textId="0F317407" w:rsidR="0059151C" w:rsidRDefault="0059151C" w:rsidP="0059151C">
      <w:pPr>
        <w:pStyle w:val="ListParagraph"/>
        <w:numPr>
          <w:ilvl w:val="0"/>
          <w:numId w:val="31"/>
        </w:numPr>
        <w:spacing w:after="160" w:line="259" w:lineRule="auto"/>
        <w:jc w:val="both"/>
        <w:rPr>
          <w:rFonts w:cs="Tahoma"/>
          <w:szCs w:val="24"/>
        </w:rPr>
      </w:pPr>
      <w:r>
        <w:rPr>
          <w:rFonts w:cs="Tahoma"/>
          <w:szCs w:val="24"/>
        </w:rPr>
        <w:t xml:space="preserve">155 low-rent public housing units scattered throughout Douglas County. </w:t>
      </w:r>
    </w:p>
    <w:p w14:paraId="0559D004" w14:textId="0FD51C99" w:rsidR="00E74598" w:rsidRPr="0059151C" w:rsidRDefault="00E74598" w:rsidP="00E74598">
      <w:pPr>
        <w:pStyle w:val="ListParagraph"/>
        <w:numPr>
          <w:ilvl w:val="0"/>
          <w:numId w:val="31"/>
        </w:numPr>
        <w:spacing w:after="160" w:line="259" w:lineRule="auto"/>
        <w:jc w:val="both"/>
        <w:rPr>
          <w:rFonts w:cs="Tahoma"/>
          <w:szCs w:val="24"/>
        </w:rPr>
      </w:pPr>
      <w:r>
        <w:rPr>
          <w:rFonts w:cs="Tahoma"/>
          <w:szCs w:val="24"/>
        </w:rPr>
        <w:t xml:space="preserve">One five-bedroom home leased to </w:t>
      </w:r>
      <w:r w:rsidR="003967B3">
        <w:rPr>
          <w:rFonts w:cs="Tahoma"/>
          <w:szCs w:val="24"/>
        </w:rPr>
        <w:t>Umpqua Homes Incorporated</w:t>
      </w:r>
      <w:r>
        <w:rPr>
          <w:rFonts w:cs="Tahoma"/>
          <w:szCs w:val="24"/>
        </w:rPr>
        <w:t xml:space="preserve"> which provides housing and care to mentally handicapped and developmentally disabled individuals. </w:t>
      </w:r>
    </w:p>
    <w:p w14:paraId="1B7335C4" w14:textId="6EE11494" w:rsidR="001124AF" w:rsidRPr="00E74598" w:rsidRDefault="001124AF" w:rsidP="00E74598">
      <w:pPr>
        <w:pStyle w:val="Heading2"/>
      </w:pPr>
      <w:r w:rsidRPr="00E74598">
        <w:t>Specific Financial Background</w:t>
      </w:r>
    </w:p>
    <w:p w14:paraId="4C730A31" w14:textId="01CF5A93" w:rsidR="001124AF" w:rsidRPr="001124AF" w:rsidRDefault="001124AF" w:rsidP="00637FD7">
      <w:pPr>
        <w:spacing w:after="160" w:line="259" w:lineRule="auto"/>
        <w:jc w:val="both"/>
        <w:rPr>
          <w:rFonts w:cs="Tahoma"/>
          <w:szCs w:val="24"/>
        </w:rPr>
      </w:pPr>
      <w:r w:rsidRPr="001124AF">
        <w:rPr>
          <w:rFonts w:cs="Tahoma"/>
          <w:szCs w:val="24"/>
        </w:rPr>
        <w:t xml:space="preserve">All activities of HADCO are accounted for within a proprietary (enterprise) fund. All financial records are maintained in-house using MRI Software, Inc., </w:t>
      </w:r>
      <w:r w:rsidR="00B070AA">
        <w:rPr>
          <w:rFonts w:cs="Tahoma"/>
          <w:szCs w:val="24"/>
        </w:rPr>
        <w:t>software</w:t>
      </w:r>
      <w:r w:rsidRPr="001124AF">
        <w:rPr>
          <w:rFonts w:cs="Tahoma"/>
          <w:szCs w:val="24"/>
        </w:rPr>
        <w:t xml:space="preserve"> designed for housing authorities. The financial statements of HADCO are presented on the full accrual basis in accordance with accounting principles generally accepted in the United States of America.  HADCO applies all Governmental Accounting Standards Board (GASB) pronouncements as well as Financial Accounting Standards Board (FASB) statements and interpretations, and the Accounting Principles Board (APB) of the Committee on Accounting Procedure issued on or before November 30, 1989, unless those pronouncements conflict with or contradict GASB pronouncements.</w:t>
      </w:r>
    </w:p>
    <w:p w14:paraId="2ED151EB" w14:textId="267B6017" w:rsidR="001124AF" w:rsidRPr="001124AF" w:rsidRDefault="001124AF" w:rsidP="00E74598">
      <w:pPr>
        <w:pStyle w:val="Heading2"/>
      </w:pPr>
      <w:r w:rsidRPr="001124AF">
        <w:t>Performance Specifications</w:t>
      </w:r>
    </w:p>
    <w:p w14:paraId="580011BF" w14:textId="77777777" w:rsidR="001124AF" w:rsidRPr="001124AF" w:rsidRDefault="001124AF" w:rsidP="00637FD7">
      <w:pPr>
        <w:spacing w:after="160" w:line="259" w:lineRule="auto"/>
        <w:jc w:val="both"/>
        <w:rPr>
          <w:rFonts w:cs="Tahoma"/>
          <w:szCs w:val="24"/>
        </w:rPr>
      </w:pPr>
      <w:r w:rsidRPr="001124AF">
        <w:rPr>
          <w:rFonts w:cs="Tahoma"/>
          <w:szCs w:val="24"/>
        </w:rPr>
        <w:t>Indicate in your proposal if you agree to meet or exceed the following performance specifications:</w:t>
      </w:r>
    </w:p>
    <w:p w14:paraId="74E1EECD" w14:textId="77777777" w:rsidR="001124AF" w:rsidRPr="001124AF" w:rsidRDefault="001124AF" w:rsidP="00637FD7">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Prepare tax returns and audit reports in a manner which satisfies the following, as applicable:</w:t>
      </w:r>
    </w:p>
    <w:p w14:paraId="1A9316C7" w14:textId="77777777" w:rsidR="001124AF" w:rsidRPr="001124AF" w:rsidRDefault="001124AF" w:rsidP="00637FD7">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All local, state, and federal legal requirements.</w:t>
      </w:r>
    </w:p>
    <w:p w14:paraId="17DD7DC7" w14:textId="77777777" w:rsidR="001124AF" w:rsidRPr="001124AF" w:rsidRDefault="001124AF" w:rsidP="00637FD7">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Compliance with OMB Uniform Guidance and GASB-34.</w:t>
      </w:r>
    </w:p>
    <w:p w14:paraId="272EF896" w14:textId="77777777" w:rsidR="001124AF" w:rsidRPr="001124AF" w:rsidRDefault="001124AF" w:rsidP="00637FD7">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Auditing standards generally accepted in the United States of America and the standards applicable to financial audits contained in Government Auditing Standards (GAS) issued by the Comptroller General of the United States.</w:t>
      </w:r>
    </w:p>
    <w:p w14:paraId="2BF8A63A" w14:textId="24666510" w:rsidR="001124AF" w:rsidRPr="001124AF" w:rsidRDefault="001124AF" w:rsidP="00637FD7">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Minimum standards for Audit of Oregon Municipal Corporations</w:t>
      </w:r>
      <w:r w:rsidR="00B070AA">
        <w:rPr>
          <w:rFonts w:cs="Tahoma"/>
          <w:szCs w:val="24"/>
        </w:rPr>
        <w:t xml:space="preserve">. </w:t>
      </w:r>
    </w:p>
    <w:p w14:paraId="7D0DD802" w14:textId="77777777" w:rsidR="001124AF" w:rsidRPr="001124AF" w:rsidRDefault="001124AF" w:rsidP="00637FD7">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The Single Audit Amendments Act of 1996.</w:t>
      </w:r>
    </w:p>
    <w:p w14:paraId="1724B5DF" w14:textId="04D0186A" w:rsidR="001124AF" w:rsidRDefault="001124AF" w:rsidP="00637FD7">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The additional requirements detailed in U.S. Department of Housing and Urban Development Notice PIH 5-31, dated May 25, 1995.</w:t>
      </w:r>
    </w:p>
    <w:p w14:paraId="6A443A57" w14:textId="74BDD964" w:rsidR="003967B3" w:rsidRDefault="003967B3" w:rsidP="00637FD7">
      <w:pPr>
        <w:numPr>
          <w:ilvl w:val="1"/>
          <w:numId w:val="20"/>
        </w:numPr>
        <w:tabs>
          <w:tab w:val="clear" w:pos="1620"/>
          <w:tab w:val="num" w:pos="1440"/>
        </w:tabs>
        <w:spacing w:after="160" w:line="259" w:lineRule="auto"/>
        <w:ind w:left="1440"/>
        <w:jc w:val="both"/>
        <w:rPr>
          <w:rFonts w:cs="Tahoma"/>
          <w:szCs w:val="24"/>
        </w:rPr>
      </w:pPr>
      <w:r>
        <w:rPr>
          <w:rFonts w:cs="Tahoma"/>
          <w:szCs w:val="24"/>
        </w:rPr>
        <w:t xml:space="preserve">Preparing FDS Reports for staff to </w:t>
      </w:r>
      <w:proofErr w:type="gramStart"/>
      <w:r>
        <w:rPr>
          <w:rFonts w:cs="Tahoma"/>
          <w:szCs w:val="24"/>
        </w:rPr>
        <w:t>enter into</w:t>
      </w:r>
      <w:proofErr w:type="gramEnd"/>
      <w:r>
        <w:rPr>
          <w:rFonts w:cs="Tahoma"/>
          <w:szCs w:val="24"/>
        </w:rPr>
        <w:t xml:space="preserve"> HUD REAC Financial Reporting System. </w:t>
      </w:r>
    </w:p>
    <w:p w14:paraId="52577E6A" w14:textId="61AB33C0" w:rsidR="003967B3" w:rsidRPr="001124AF" w:rsidRDefault="003967B3" w:rsidP="00637FD7">
      <w:pPr>
        <w:numPr>
          <w:ilvl w:val="1"/>
          <w:numId w:val="20"/>
        </w:numPr>
        <w:tabs>
          <w:tab w:val="clear" w:pos="1620"/>
          <w:tab w:val="num" w:pos="1440"/>
        </w:tabs>
        <w:spacing w:after="160" w:line="259" w:lineRule="auto"/>
        <w:ind w:left="1440"/>
        <w:jc w:val="both"/>
        <w:rPr>
          <w:rFonts w:cs="Tahoma"/>
          <w:szCs w:val="24"/>
        </w:rPr>
      </w:pPr>
      <w:r>
        <w:rPr>
          <w:rFonts w:cs="Tahoma"/>
          <w:szCs w:val="24"/>
        </w:rPr>
        <w:t xml:space="preserve">Preparing RD Financial Reports in accordance with RD regulations. </w:t>
      </w:r>
    </w:p>
    <w:p w14:paraId="25657D76" w14:textId="176DC8D4" w:rsidR="001124AF" w:rsidRPr="00E74598" w:rsidRDefault="001124AF" w:rsidP="00E74598">
      <w:pPr>
        <w:numPr>
          <w:ilvl w:val="1"/>
          <w:numId w:val="20"/>
        </w:numPr>
        <w:tabs>
          <w:tab w:val="clear" w:pos="1620"/>
          <w:tab w:val="num" w:pos="1440"/>
        </w:tabs>
        <w:spacing w:after="160" w:line="259" w:lineRule="auto"/>
        <w:ind w:left="1440"/>
        <w:jc w:val="both"/>
        <w:rPr>
          <w:rFonts w:cs="Tahoma"/>
          <w:szCs w:val="24"/>
        </w:rPr>
      </w:pPr>
      <w:r w:rsidRPr="001124AF">
        <w:rPr>
          <w:rFonts w:cs="Tahoma"/>
          <w:szCs w:val="24"/>
        </w:rPr>
        <w:t>Any applicable subsequent regulations or requirements, including instruction issued by the U.S. Department of Housing and Urban Development, the State of Oregon, or the Federal Office of Management and Budgets (OMB).</w:t>
      </w:r>
    </w:p>
    <w:p w14:paraId="07AA1DFC" w14:textId="1FC9BCAF"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Express an opinion on the financial statements of HADCO and an opinion on whether combining fund financial statements, the financial data schedule, and the schedule of expenditures of federal awards are fairly stated in relation to the financial statements taken as a whole.</w:t>
      </w:r>
    </w:p>
    <w:p w14:paraId="3A2BEAA9" w14:textId="645089A7"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Provide reports on internal control over financial reporting and compliance with certain provisions of laws, regulations, contracts and grant agreements, and other matters.</w:t>
      </w:r>
    </w:p>
    <w:p w14:paraId="510CE066" w14:textId="470FB832"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 xml:space="preserve">Express an opinion on the financial statements and prepare tax returns and audit reports for the partnership.  </w:t>
      </w:r>
    </w:p>
    <w:p w14:paraId="677C0B04" w14:textId="21D0F6B5"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Submit</w:t>
      </w:r>
      <w:r w:rsidR="00B070AA">
        <w:rPr>
          <w:rFonts w:cs="Tahoma"/>
          <w:szCs w:val="24"/>
        </w:rPr>
        <w:t xml:space="preserve"> timely</w:t>
      </w:r>
      <w:r w:rsidRPr="001124AF">
        <w:rPr>
          <w:rFonts w:cs="Tahoma"/>
          <w:szCs w:val="24"/>
        </w:rPr>
        <w:t xml:space="preserve"> drafts of tax returns and audit reports </w:t>
      </w:r>
      <w:r w:rsidR="00B070AA">
        <w:rPr>
          <w:rFonts w:cs="Tahoma"/>
          <w:szCs w:val="24"/>
        </w:rPr>
        <w:t xml:space="preserve">for HADCO </w:t>
      </w:r>
      <w:r w:rsidRPr="001124AF">
        <w:rPr>
          <w:rFonts w:cs="Tahoma"/>
          <w:szCs w:val="24"/>
        </w:rPr>
        <w:t>review and approval.</w:t>
      </w:r>
    </w:p>
    <w:p w14:paraId="7881EE0D" w14:textId="63C5D9B1"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Issue</w:t>
      </w:r>
      <w:r w:rsidR="00B070AA">
        <w:rPr>
          <w:rFonts w:cs="Tahoma"/>
          <w:szCs w:val="24"/>
        </w:rPr>
        <w:t xml:space="preserve"> timely</w:t>
      </w:r>
      <w:r w:rsidRPr="001124AF">
        <w:rPr>
          <w:rFonts w:cs="Tahoma"/>
          <w:szCs w:val="24"/>
        </w:rPr>
        <w:t xml:space="preserve"> final audit reports and tax returns upon approval from both HADCO and the limited partner.</w:t>
      </w:r>
    </w:p>
    <w:p w14:paraId="4410602C" w14:textId="04B0DCB4"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Prepare necessary confirmations and provide a list of schedules to be prepared by HADCO at least one month prior to the audit, or as soon as possible for the partnerships.</w:t>
      </w:r>
    </w:p>
    <w:p w14:paraId="7C563677" w14:textId="19D4D461"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Provide ten bound copies, one unbound copy, and one electronic copy of the HADCO audit report, along with the management letter and report on internal accounting control weaknesses, if applicable. The partner-in-charge of the audit shall be free to attend up to one public meeting at which the audit report will be discussed.</w:t>
      </w:r>
    </w:p>
    <w:p w14:paraId="1A2F479F" w14:textId="569BDFF0"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 xml:space="preserve">Provide ten bound </w:t>
      </w:r>
      <w:r w:rsidR="00B070AA" w:rsidRPr="001124AF">
        <w:rPr>
          <w:rFonts w:cs="Tahoma"/>
          <w:szCs w:val="24"/>
        </w:rPr>
        <w:t>copies</w:t>
      </w:r>
      <w:r w:rsidRPr="001124AF">
        <w:rPr>
          <w:rFonts w:cs="Tahoma"/>
          <w:szCs w:val="24"/>
        </w:rPr>
        <w:t xml:space="preserve"> and one unbound copy of the partnership tax return and audit report plus an electronic copy of the audit report, final trial balance, and audit adjustments.</w:t>
      </w:r>
    </w:p>
    <w:p w14:paraId="53AF572B" w14:textId="0D7F6410" w:rsidR="001124AF" w:rsidRPr="00E74598" w:rsidRDefault="001124AF" w:rsidP="00E74598">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 xml:space="preserve">Make work papers, </w:t>
      </w:r>
      <w:r w:rsidR="00B070AA" w:rsidRPr="001124AF">
        <w:rPr>
          <w:rFonts w:cs="Tahoma"/>
          <w:szCs w:val="24"/>
        </w:rPr>
        <w:t>records,</w:t>
      </w:r>
      <w:r w:rsidRPr="001124AF">
        <w:rPr>
          <w:rFonts w:cs="Tahoma"/>
          <w:szCs w:val="24"/>
        </w:rPr>
        <w:t xml:space="preserve"> or other evidence of audit available to the U.S. Department of Housing and Urban Development and the U.S. Department of Rural Development, or their representatives</w:t>
      </w:r>
      <w:r w:rsidR="00B070AA">
        <w:rPr>
          <w:rFonts w:cs="Tahoma"/>
          <w:szCs w:val="24"/>
        </w:rPr>
        <w:t>,</w:t>
      </w:r>
      <w:r w:rsidRPr="001124AF">
        <w:rPr>
          <w:rFonts w:cs="Tahoma"/>
          <w:szCs w:val="24"/>
        </w:rPr>
        <w:t xml:space="preserve"> for a period of four years from the date of the audit report. Except for disclosures to authorized representatives of HADCO, all work papers, </w:t>
      </w:r>
      <w:r w:rsidR="00B070AA" w:rsidRPr="001124AF">
        <w:rPr>
          <w:rFonts w:cs="Tahoma"/>
          <w:szCs w:val="24"/>
        </w:rPr>
        <w:t>records,</w:t>
      </w:r>
      <w:r w:rsidRPr="001124AF">
        <w:rPr>
          <w:rFonts w:cs="Tahoma"/>
          <w:szCs w:val="24"/>
        </w:rPr>
        <w:t xml:space="preserve"> and other evidence of audit, including information and data prepared or assembled by the firm, shall be held confidential by the </w:t>
      </w:r>
      <w:r w:rsidR="00B070AA" w:rsidRPr="001124AF">
        <w:rPr>
          <w:rFonts w:cs="Tahoma"/>
          <w:szCs w:val="24"/>
        </w:rPr>
        <w:t>firm,</w:t>
      </w:r>
      <w:r w:rsidRPr="001124AF">
        <w:rPr>
          <w:rFonts w:cs="Tahoma"/>
          <w:szCs w:val="24"/>
        </w:rPr>
        <w:t xml:space="preserve"> and shall not be made available or otherwise disclosed to any person without the prior written approval of the HADCO Executive Director.</w:t>
      </w:r>
      <w:r w:rsidR="00E74598">
        <w:rPr>
          <w:rFonts w:cs="Tahoma"/>
          <w:szCs w:val="24"/>
        </w:rPr>
        <w:t xml:space="preserve"> </w:t>
      </w:r>
    </w:p>
    <w:p w14:paraId="3FA460FC" w14:textId="77777777" w:rsidR="00B070AA" w:rsidRDefault="001124AF" w:rsidP="00B070AA">
      <w:pPr>
        <w:numPr>
          <w:ilvl w:val="0"/>
          <w:numId w:val="20"/>
        </w:numPr>
        <w:tabs>
          <w:tab w:val="clear" w:pos="774"/>
          <w:tab w:val="num" w:pos="720"/>
        </w:tabs>
        <w:spacing w:after="160" w:line="259" w:lineRule="auto"/>
        <w:ind w:left="720"/>
        <w:jc w:val="both"/>
        <w:rPr>
          <w:rFonts w:cs="Tahoma"/>
          <w:szCs w:val="24"/>
        </w:rPr>
      </w:pPr>
      <w:r w:rsidRPr="001124AF">
        <w:rPr>
          <w:rFonts w:cs="Tahoma"/>
          <w:szCs w:val="24"/>
        </w:rPr>
        <w:t xml:space="preserve">Respond, and be available in </w:t>
      </w:r>
      <w:proofErr w:type="gramStart"/>
      <w:r w:rsidRPr="001124AF">
        <w:rPr>
          <w:rFonts w:cs="Tahoma"/>
          <w:szCs w:val="24"/>
        </w:rPr>
        <w:t>general,</w:t>
      </w:r>
      <w:proofErr w:type="gramEnd"/>
      <w:r w:rsidRPr="001124AF">
        <w:rPr>
          <w:rFonts w:cs="Tahoma"/>
          <w:szCs w:val="24"/>
        </w:rPr>
        <w:t xml:space="preserve"> throughout the year to engagement-related technical questions posed by designated staff at HADCO.</w:t>
      </w:r>
      <w:r w:rsidR="00B070AA">
        <w:rPr>
          <w:rFonts w:cs="Tahoma"/>
          <w:szCs w:val="24"/>
        </w:rPr>
        <w:t xml:space="preserve"> </w:t>
      </w:r>
    </w:p>
    <w:p w14:paraId="3608C007" w14:textId="4C7E525F" w:rsidR="00B070AA" w:rsidRPr="00B070AA" w:rsidRDefault="00B070AA" w:rsidP="00B070AA">
      <w:pPr>
        <w:numPr>
          <w:ilvl w:val="0"/>
          <w:numId w:val="20"/>
        </w:numPr>
        <w:tabs>
          <w:tab w:val="clear" w:pos="774"/>
          <w:tab w:val="num" w:pos="720"/>
        </w:tabs>
        <w:spacing w:after="160" w:line="259" w:lineRule="auto"/>
        <w:ind w:left="720"/>
        <w:jc w:val="both"/>
        <w:rPr>
          <w:rFonts w:cs="Tahoma"/>
          <w:szCs w:val="24"/>
        </w:rPr>
      </w:pPr>
      <w:r>
        <w:rPr>
          <w:rFonts w:cs="Tahoma"/>
          <w:szCs w:val="24"/>
        </w:rPr>
        <w:t>P</w:t>
      </w:r>
      <w:r w:rsidRPr="00B070AA">
        <w:rPr>
          <w:rFonts w:cs="Tahoma"/>
          <w:szCs w:val="24"/>
        </w:rPr>
        <w:t>repare the management discussion and analysis, financial statements, tax returns, notes</w:t>
      </w:r>
      <w:r>
        <w:rPr>
          <w:rFonts w:cs="Tahoma"/>
          <w:szCs w:val="24"/>
        </w:rPr>
        <w:t>,</w:t>
      </w:r>
      <w:r w:rsidRPr="00B070AA">
        <w:rPr>
          <w:rFonts w:cs="Tahoma"/>
          <w:szCs w:val="24"/>
        </w:rPr>
        <w:t xml:space="preserve"> and schedules for the audit report and provide HADCO for review. The following due dates apply regarding the HADCO audit report:</w:t>
      </w:r>
    </w:p>
    <w:p w14:paraId="08BB9D2B" w14:textId="72F8BFF0" w:rsidR="00B070AA" w:rsidRPr="0086777C" w:rsidRDefault="00B070AA" w:rsidP="0086777C">
      <w:pPr>
        <w:pStyle w:val="ListParagraph"/>
        <w:numPr>
          <w:ilvl w:val="0"/>
          <w:numId w:val="32"/>
        </w:numPr>
        <w:spacing w:after="160" w:line="259" w:lineRule="auto"/>
        <w:ind w:left="1440"/>
        <w:jc w:val="both"/>
        <w:rPr>
          <w:rFonts w:cs="Tahoma"/>
          <w:szCs w:val="24"/>
        </w:rPr>
      </w:pPr>
      <w:r w:rsidRPr="0086777C">
        <w:rPr>
          <w:rFonts w:cs="Tahoma"/>
          <w:szCs w:val="24"/>
        </w:rPr>
        <w:t xml:space="preserve">June through July – Field work completed. </w:t>
      </w:r>
    </w:p>
    <w:p w14:paraId="20893F2F" w14:textId="408C6B22" w:rsidR="00B070AA" w:rsidRPr="0086777C" w:rsidRDefault="00B070AA" w:rsidP="0086777C">
      <w:pPr>
        <w:pStyle w:val="ListParagraph"/>
        <w:numPr>
          <w:ilvl w:val="0"/>
          <w:numId w:val="32"/>
        </w:numPr>
        <w:spacing w:after="160" w:line="259" w:lineRule="auto"/>
        <w:ind w:left="1440"/>
        <w:jc w:val="both"/>
        <w:rPr>
          <w:rFonts w:cs="Tahoma"/>
          <w:szCs w:val="24"/>
        </w:rPr>
      </w:pPr>
      <w:r w:rsidRPr="0086777C">
        <w:rPr>
          <w:rFonts w:cs="Tahoma"/>
          <w:szCs w:val="24"/>
        </w:rPr>
        <w:t xml:space="preserve">August through September - Final audit report due for presentation to HADCO’s Board of Commissioners. </w:t>
      </w:r>
      <w:r w:rsidR="003967B3">
        <w:rPr>
          <w:rFonts w:cs="Tahoma"/>
          <w:szCs w:val="24"/>
        </w:rPr>
        <w:t xml:space="preserve">CT 12 and IRS 990 </w:t>
      </w:r>
      <w:proofErr w:type="gramStart"/>
      <w:r w:rsidR="003967B3">
        <w:rPr>
          <w:rFonts w:cs="Tahoma"/>
          <w:szCs w:val="24"/>
        </w:rPr>
        <w:t>due</w:t>
      </w:r>
      <w:proofErr w:type="gramEnd"/>
      <w:r w:rsidR="003967B3">
        <w:rPr>
          <w:rFonts w:cs="Tahoma"/>
          <w:szCs w:val="24"/>
        </w:rPr>
        <w:t xml:space="preserve"> for Douglas Multi-Family Property Management Corporation. </w:t>
      </w:r>
    </w:p>
    <w:p w14:paraId="4C49A944" w14:textId="73BEA9F1" w:rsidR="00B070AA" w:rsidRPr="0086777C" w:rsidRDefault="00B070AA" w:rsidP="0086777C">
      <w:pPr>
        <w:pStyle w:val="ListParagraph"/>
        <w:numPr>
          <w:ilvl w:val="0"/>
          <w:numId w:val="32"/>
        </w:numPr>
        <w:spacing w:after="160" w:line="259" w:lineRule="auto"/>
        <w:ind w:left="1440"/>
        <w:jc w:val="both"/>
        <w:rPr>
          <w:rFonts w:cs="Tahoma"/>
          <w:szCs w:val="24"/>
        </w:rPr>
      </w:pPr>
      <w:r w:rsidRPr="0086777C">
        <w:rPr>
          <w:rFonts w:cs="Tahoma"/>
          <w:szCs w:val="24"/>
        </w:rPr>
        <w:t>October – Input, review, and approval of audited REAC submission. REAC submission deadline is December 31</w:t>
      </w:r>
      <w:r w:rsidRPr="0086777C">
        <w:rPr>
          <w:rFonts w:cs="Tahoma"/>
          <w:szCs w:val="24"/>
          <w:vertAlign w:val="superscript"/>
        </w:rPr>
        <w:t>st</w:t>
      </w:r>
      <w:r w:rsidRPr="0086777C">
        <w:rPr>
          <w:rFonts w:cs="Tahoma"/>
          <w:szCs w:val="24"/>
        </w:rPr>
        <w:t xml:space="preserve">. </w:t>
      </w:r>
    </w:p>
    <w:p w14:paraId="08056636" w14:textId="05403EE6" w:rsidR="001124AF" w:rsidRPr="001124AF" w:rsidRDefault="001124AF" w:rsidP="00E74598">
      <w:pPr>
        <w:pStyle w:val="Heading2"/>
      </w:pPr>
      <w:r w:rsidRPr="001124AF">
        <w:t>Instructions Regarding Proposals</w:t>
      </w:r>
    </w:p>
    <w:p w14:paraId="41E2193E" w14:textId="0CD601D6" w:rsidR="001124AF" w:rsidRPr="001124AF" w:rsidRDefault="001124AF" w:rsidP="00E74598">
      <w:pPr>
        <w:spacing w:after="160" w:line="259" w:lineRule="auto"/>
        <w:jc w:val="both"/>
        <w:rPr>
          <w:rFonts w:cs="Tahoma"/>
          <w:szCs w:val="24"/>
        </w:rPr>
      </w:pPr>
      <w:r w:rsidRPr="001124AF">
        <w:rPr>
          <w:rFonts w:cs="Tahoma"/>
          <w:szCs w:val="24"/>
        </w:rPr>
        <w:t>Please complete the Proposer Information Form and submit in a sealed envelope with the following applicable information:</w:t>
      </w:r>
    </w:p>
    <w:p w14:paraId="19EF3877" w14:textId="77777777" w:rsidR="001124AF" w:rsidRPr="001124AF" w:rsidRDefault="001124AF" w:rsidP="00637FD7">
      <w:pPr>
        <w:numPr>
          <w:ilvl w:val="0"/>
          <w:numId w:val="21"/>
        </w:numPr>
        <w:tabs>
          <w:tab w:val="clear" w:pos="774"/>
          <w:tab w:val="num" w:pos="720"/>
        </w:tabs>
        <w:spacing w:after="160" w:line="259" w:lineRule="auto"/>
        <w:ind w:left="720"/>
        <w:jc w:val="both"/>
        <w:rPr>
          <w:rFonts w:cs="Tahoma"/>
          <w:szCs w:val="24"/>
          <w:u w:val="single"/>
        </w:rPr>
      </w:pPr>
      <w:r w:rsidRPr="001124AF">
        <w:rPr>
          <w:rFonts w:cs="Tahoma"/>
          <w:szCs w:val="24"/>
          <w:u w:val="single"/>
        </w:rPr>
        <w:t>Qualifications of the Firm</w:t>
      </w:r>
    </w:p>
    <w:p w14:paraId="0955F803" w14:textId="77777777" w:rsidR="001124AF" w:rsidRPr="001124AF" w:rsidRDefault="001124AF" w:rsidP="00637FD7">
      <w:pPr>
        <w:numPr>
          <w:ilvl w:val="1"/>
          <w:numId w:val="21"/>
        </w:numPr>
        <w:tabs>
          <w:tab w:val="clear" w:pos="1494"/>
          <w:tab w:val="num" w:pos="1440"/>
        </w:tabs>
        <w:spacing w:after="160" w:line="259" w:lineRule="auto"/>
        <w:ind w:left="1440"/>
        <w:jc w:val="both"/>
        <w:rPr>
          <w:rFonts w:cs="Tahoma"/>
          <w:szCs w:val="24"/>
        </w:rPr>
      </w:pPr>
      <w:r w:rsidRPr="001124AF">
        <w:rPr>
          <w:rFonts w:cs="Tahoma"/>
          <w:szCs w:val="24"/>
        </w:rPr>
        <w:t>A description of the firm and its relevant prior experience.</w:t>
      </w:r>
    </w:p>
    <w:p w14:paraId="42184935" w14:textId="77777777" w:rsidR="001124AF" w:rsidRPr="001124AF" w:rsidRDefault="001124AF" w:rsidP="00637FD7">
      <w:pPr>
        <w:numPr>
          <w:ilvl w:val="1"/>
          <w:numId w:val="21"/>
        </w:numPr>
        <w:tabs>
          <w:tab w:val="clear" w:pos="1494"/>
          <w:tab w:val="num" w:pos="1440"/>
        </w:tabs>
        <w:spacing w:after="160" w:line="259" w:lineRule="auto"/>
        <w:ind w:left="1440"/>
        <w:jc w:val="both"/>
        <w:rPr>
          <w:rFonts w:cs="Tahoma"/>
          <w:szCs w:val="24"/>
        </w:rPr>
      </w:pPr>
      <w:r w:rsidRPr="001124AF">
        <w:rPr>
          <w:rFonts w:cs="Tahoma"/>
          <w:szCs w:val="24"/>
        </w:rPr>
        <w:t>References from Municipal entities (especially Oregon housing authorities).</w:t>
      </w:r>
    </w:p>
    <w:p w14:paraId="38BD3FFC" w14:textId="77777777" w:rsidR="001124AF" w:rsidRPr="001124AF" w:rsidRDefault="001124AF" w:rsidP="00637FD7">
      <w:pPr>
        <w:numPr>
          <w:ilvl w:val="1"/>
          <w:numId w:val="21"/>
        </w:numPr>
        <w:tabs>
          <w:tab w:val="clear" w:pos="1494"/>
          <w:tab w:val="num" w:pos="1440"/>
        </w:tabs>
        <w:spacing w:after="160" w:line="259" w:lineRule="auto"/>
        <w:ind w:left="1440"/>
        <w:jc w:val="both"/>
        <w:rPr>
          <w:rFonts w:cs="Tahoma"/>
          <w:szCs w:val="24"/>
        </w:rPr>
      </w:pPr>
      <w:r w:rsidRPr="001124AF">
        <w:rPr>
          <w:rFonts w:cs="Tahoma"/>
          <w:szCs w:val="24"/>
        </w:rPr>
        <w:t>References from Tax Credit Partnership entities.</w:t>
      </w:r>
    </w:p>
    <w:p w14:paraId="4F4C7632" w14:textId="77777777" w:rsidR="001124AF" w:rsidRPr="001124AF" w:rsidRDefault="001124AF" w:rsidP="00637FD7">
      <w:pPr>
        <w:numPr>
          <w:ilvl w:val="1"/>
          <w:numId w:val="21"/>
        </w:numPr>
        <w:tabs>
          <w:tab w:val="clear" w:pos="1494"/>
          <w:tab w:val="num" w:pos="1440"/>
        </w:tabs>
        <w:spacing w:after="160" w:line="259" w:lineRule="auto"/>
        <w:ind w:left="1440"/>
        <w:jc w:val="both"/>
        <w:rPr>
          <w:rFonts w:cs="Tahoma"/>
          <w:szCs w:val="24"/>
        </w:rPr>
      </w:pPr>
      <w:r w:rsidRPr="001124AF">
        <w:rPr>
          <w:rFonts w:cs="Tahoma"/>
          <w:szCs w:val="24"/>
        </w:rPr>
        <w:t>A description of the firm’s policy on notification of changes in key personnel.</w:t>
      </w:r>
    </w:p>
    <w:p w14:paraId="3723307A" w14:textId="4F2D02EC" w:rsidR="001124AF" w:rsidRPr="00E74598" w:rsidRDefault="001124AF" w:rsidP="00E74598">
      <w:pPr>
        <w:numPr>
          <w:ilvl w:val="1"/>
          <w:numId w:val="21"/>
        </w:numPr>
        <w:tabs>
          <w:tab w:val="clear" w:pos="1494"/>
          <w:tab w:val="num" w:pos="1440"/>
        </w:tabs>
        <w:spacing w:after="160" w:line="259" w:lineRule="auto"/>
        <w:ind w:left="1440"/>
        <w:jc w:val="both"/>
        <w:rPr>
          <w:rFonts w:cs="Tahoma"/>
          <w:szCs w:val="24"/>
        </w:rPr>
      </w:pPr>
      <w:r w:rsidRPr="001124AF">
        <w:rPr>
          <w:rFonts w:cs="Tahoma"/>
          <w:szCs w:val="24"/>
        </w:rPr>
        <w:t>Most recent Peer Evaluation</w:t>
      </w:r>
      <w:r w:rsidR="0086777C">
        <w:rPr>
          <w:rFonts w:cs="Tahoma"/>
          <w:szCs w:val="24"/>
        </w:rPr>
        <w:t xml:space="preserve">. </w:t>
      </w:r>
    </w:p>
    <w:p w14:paraId="293B5B03" w14:textId="4333DEB8" w:rsidR="0086777C" w:rsidRDefault="001124AF" w:rsidP="0086777C">
      <w:pPr>
        <w:numPr>
          <w:ilvl w:val="0"/>
          <w:numId w:val="21"/>
        </w:numPr>
        <w:tabs>
          <w:tab w:val="clear" w:pos="774"/>
          <w:tab w:val="num" w:pos="720"/>
        </w:tabs>
        <w:spacing w:after="0" w:line="259" w:lineRule="auto"/>
        <w:ind w:left="720"/>
        <w:jc w:val="both"/>
        <w:rPr>
          <w:rFonts w:cs="Tahoma"/>
          <w:szCs w:val="24"/>
        </w:rPr>
      </w:pPr>
      <w:r w:rsidRPr="001124AF">
        <w:rPr>
          <w:rFonts w:cs="Tahoma"/>
          <w:szCs w:val="24"/>
          <w:u w:val="single"/>
        </w:rPr>
        <w:t xml:space="preserve">Qualifications of the Audit </w:t>
      </w:r>
      <w:r w:rsidR="0086777C">
        <w:rPr>
          <w:rFonts w:cs="Tahoma"/>
          <w:szCs w:val="24"/>
          <w:u w:val="single"/>
        </w:rPr>
        <w:t>and</w:t>
      </w:r>
      <w:r w:rsidRPr="001124AF">
        <w:rPr>
          <w:rFonts w:cs="Tahoma"/>
          <w:szCs w:val="24"/>
          <w:u w:val="single"/>
        </w:rPr>
        <w:t xml:space="preserve"> Tax Team</w:t>
      </w:r>
      <w:r w:rsidR="0086777C">
        <w:rPr>
          <w:rFonts w:cs="Tahoma"/>
          <w:szCs w:val="24"/>
        </w:rPr>
        <w:t xml:space="preserve"> </w:t>
      </w:r>
    </w:p>
    <w:p w14:paraId="5C0779F5" w14:textId="31A75295" w:rsidR="001124AF" w:rsidRPr="001124AF" w:rsidRDefault="001124AF" w:rsidP="0086777C">
      <w:pPr>
        <w:spacing w:after="160" w:line="259" w:lineRule="auto"/>
        <w:ind w:left="720" w:firstLine="0"/>
        <w:jc w:val="both"/>
        <w:rPr>
          <w:rFonts w:cs="Tahoma"/>
          <w:szCs w:val="24"/>
        </w:rPr>
      </w:pPr>
      <w:r w:rsidRPr="001124AF">
        <w:rPr>
          <w:rFonts w:cs="Tahoma"/>
          <w:szCs w:val="24"/>
        </w:rPr>
        <w:t>Include a description of the partner(s), manager(s), and staff to be assigned to the engagements, including their resumes. Resumes should address or include:</w:t>
      </w:r>
    </w:p>
    <w:p w14:paraId="25DE8A57" w14:textId="77777777" w:rsidR="001124AF" w:rsidRPr="001124AF" w:rsidRDefault="001124AF" w:rsidP="00637FD7">
      <w:pPr>
        <w:numPr>
          <w:ilvl w:val="0"/>
          <w:numId w:val="22"/>
        </w:numPr>
        <w:spacing w:after="160" w:line="259" w:lineRule="auto"/>
        <w:jc w:val="both"/>
        <w:rPr>
          <w:rFonts w:cs="Tahoma"/>
          <w:szCs w:val="24"/>
          <w:u w:val="single"/>
        </w:rPr>
      </w:pPr>
      <w:r w:rsidRPr="001124AF">
        <w:rPr>
          <w:rFonts w:cs="Tahoma"/>
          <w:szCs w:val="24"/>
        </w:rPr>
        <w:t>Experience in the auditing profession.</w:t>
      </w:r>
    </w:p>
    <w:p w14:paraId="656DF961" w14:textId="77777777" w:rsidR="001124AF" w:rsidRPr="001124AF" w:rsidRDefault="001124AF" w:rsidP="00637FD7">
      <w:pPr>
        <w:numPr>
          <w:ilvl w:val="0"/>
          <w:numId w:val="22"/>
        </w:numPr>
        <w:spacing w:after="160" w:line="259" w:lineRule="auto"/>
        <w:jc w:val="both"/>
        <w:rPr>
          <w:rFonts w:cs="Tahoma"/>
          <w:szCs w:val="24"/>
          <w:u w:val="single"/>
        </w:rPr>
      </w:pPr>
      <w:r w:rsidRPr="001124AF">
        <w:rPr>
          <w:rFonts w:cs="Tahoma"/>
          <w:szCs w:val="24"/>
        </w:rPr>
        <w:t>Experience with tax credit partnerships.</w:t>
      </w:r>
    </w:p>
    <w:p w14:paraId="4704ECE8" w14:textId="77777777" w:rsidR="001124AF" w:rsidRPr="001124AF" w:rsidRDefault="001124AF" w:rsidP="00637FD7">
      <w:pPr>
        <w:numPr>
          <w:ilvl w:val="0"/>
          <w:numId w:val="22"/>
        </w:numPr>
        <w:spacing w:after="160" w:line="259" w:lineRule="auto"/>
        <w:jc w:val="both"/>
        <w:rPr>
          <w:rFonts w:cs="Tahoma"/>
          <w:szCs w:val="24"/>
          <w:u w:val="single"/>
        </w:rPr>
      </w:pPr>
      <w:r w:rsidRPr="001124AF">
        <w:rPr>
          <w:rFonts w:cs="Tahoma"/>
          <w:szCs w:val="24"/>
        </w:rPr>
        <w:t>A summary of similar audits the individual has worked on.</w:t>
      </w:r>
    </w:p>
    <w:p w14:paraId="230164FD" w14:textId="62822BE7" w:rsidR="001124AF" w:rsidRPr="001124AF" w:rsidRDefault="001124AF" w:rsidP="00637FD7">
      <w:pPr>
        <w:numPr>
          <w:ilvl w:val="0"/>
          <w:numId w:val="22"/>
        </w:numPr>
        <w:spacing w:after="160" w:line="259" w:lineRule="auto"/>
        <w:jc w:val="both"/>
        <w:rPr>
          <w:rFonts w:cs="Tahoma"/>
          <w:szCs w:val="24"/>
          <w:u w:val="single"/>
        </w:rPr>
      </w:pPr>
      <w:r w:rsidRPr="001124AF">
        <w:rPr>
          <w:rFonts w:cs="Tahoma"/>
          <w:szCs w:val="24"/>
        </w:rPr>
        <w:t>CPA license and municipal roster numbers</w:t>
      </w:r>
      <w:r w:rsidR="0086777C">
        <w:rPr>
          <w:rFonts w:cs="Tahoma"/>
          <w:szCs w:val="24"/>
        </w:rPr>
        <w:t xml:space="preserve">. </w:t>
      </w:r>
    </w:p>
    <w:p w14:paraId="078BF62F" w14:textId="77777777" w:rsidR="001124AF" w:rsidRPr="001124AF" w:rsidRDefault="001124AF" w:rsidP="00637FD7">
      <w:pPr>
        <w:numPr>
          <w:ilvl w:val="0"/>
          <w:numId w:val="22"/>
        </w:numPr>
        <w:spacing w:after="160" w:line="259" w:lineRule="auto"/>
        <w:jc w:val="both"/>
        <w:rPr>
          <w:rFonts w:cs="Tahoma"/>
          <w:szCs w:val="24"/>
          <w:u w:val="single"/>
        </w:rPr>
      </w:pPr>
      <w:r w:rsidRPr="001124AF">
        <w:rPr>
          <w:rFonts w:cs="Tahoma"/>
          <w:szCs w:val="24"/>
        </w:rPr>
        <w:t>A summary of the continuing professional education the individual has in governmental accounting and auditing and tax credit regulations during the last two years.</w:t>
      </w:r>
    </w:p>
    <w:p w14:paraId="2D62A39C" w14:textId="07FE06F3" w:rsidR="001124AF" w:rsidRPr="00E74598" w:rsidRDefault="001124AF" w:rsidP="00E74598">
      <w:pPr>
        <w:numPr>
          <w:ilvl w:val="0"/>
          <w:numId w:val="22"/>
        </w:numPr>
        <w:spacing w:after="160" w:line="259" w:lineRule="auto"/>
        <w:jc w:val="both"/>
        <w:rPr>
          <w:rFonts w:cs="Tahoma"/>
          <w:b/>
          <w:szCs w:val="24"/>
          <w:u w:val="single"/>
        </w:rPr>
      </w:pPr>
      <w:r w:rsidRPr="001124AF">
        <w:rPr>
          <w:rFonts w:cs="Tahoma"/>
          <w:szCs w:val="24"/>
        </w:rPr>
        <w:t xml:space="preserve">A </w:t>
      </w:r>
      <w:r w:rsidR="0086777C" w:rsidRPr="001124AF">
        <w:rPr>
          <w:rFonts w:cs="Tahoma"/>
          <w:szCs w:val="24"/>
        </w:rPr>
        <w:t>statement about</w:t>
      </w:r>
      <w:r w:rsidRPr="001124AF">
        <w:rPr>
          <w:rFonts w:cs="Tahoma"/>
          <w:szCs w:val="24"/>
        </w:rPr>
        <w:t xml:space="preserve"> whether the individual is independent, as defined by applicable auditing standards.</w:t>
      </w:r>
    </w:p>
    <w:p w14:paraId="3C2B5783" w14:textId="77777777" w:rsidR="001124AF" w:rsidRPr="001124AF" w:rsidRDefault="001124AF" w:rsidP="00637FD7">
      <w:pPr>
        <w:numPr>
          <w:ilvl w:val="0"/>
          <w:numId w:val="21"/>
        </w:numPr>
        <w:tabs>
          <w:tab w:val="clear" w:pos="774"/>
          <w:tab w:val="num" w:pos="720"/>
        </w:tabs>
        <w:spacing w:after="160" w:line="259" w:lineRule="auto"/>
        <w:ind w:left="720"/>
        <w:jc w:val="both"/>
        <w:rPr>
          <w:rFonts w:cs="Tahoma"/>
          <w:szCs w:val="24"/>
          <w:u w:val="single"/>
        </w:rPr>
      </w:pPr>
      <w:r w:rsidRPr="001124AF">
        <w:rPr>
          <w:rFonts w:cs="Tahoma"/>
          <w:szCs w:val="24"/>
          <w:u w:val="single"/>
        </w:rPr>
        <w:t>Technical Approach</w:t>
      </w:r>
    </w:p>
    <w:p w14:paraId="65C90D23" w14:textId="77777777" w:rsidR="001124AF" w:rsidRPr="001124AF" w:rsidRDefault="001124AF" w:rsidP="00637FD7">
      <w:pPr>
        <w:numPr>
          <w:ilvl w:val="1"/>
          <w:numId w:val="23"/>
        </w:numPr>
        <w:spacing w:after="160" w:line="259" w:lineRule="auto"/>
        <w:jc w:val="both"/>
        <w:rPr>
          <w:rFonts w:cs="Tahoma"/>
          <w:szCs w:val="24"/>
        </w:rPr>
      </w:pPr>
      <w:r w:rsidRPr="001124AF">
        <w:rPr>
          <w:rFonts w:cs="Tahoma"/>
          <w:szCs w:val="24"/>
        </w:rPr>
        <w:t>Express agreement to meet or exceed performance specifications, including deadlines.</w:t>
      </w:r>
    </w:p>
    <w:p w14:paraId="2E3D14CD" w14:textId="09B19EDF" w:rsidR="001124AF" w:rsidRPr="00E74598" w:rsidRDefault="001124AF" w:rsidP="00E74598">
      <w:pPr>
        <w:numPr>
          <w:ilvl w:val="1"/>
          <w:numId w:val="23"/>
        </w:numPr>
        <w:spacing w:after="160" w:line="259" w:lineRule="auto"/>
        <w:jc w:val="both"/>
        <w:rPr>
          <w:rFonts w:cs="Tahoma"/>
          <w:szCs w:val="24"/>
        </w:rPr>
      </w:pPr>
      <w:r w:rsidRPr="001124AF">
        <w:rPr>
          <w:rFonts w:cs="Tahoma"/>
          <w:szCs w:val="24"/>
        </w:rPr>
        <w:t>A brief description of the audit and tax procedures to be followed, presented in a form which will enable HADCO to evaluate your firm’s ability to identify, evaluate, and communicate financial and other required issues.</w:t>
      </w:r>
    </w:p>
    <w:p w14:paraId="7853C2AD" w14:textId="77777777" w:rsidR="001124AF" w:rsidRPr="001124AF" w:rsidRDefault="001124AF" w:rsidP="00637FD7">
      <w:pPr>
        <w:numPr>
          <w:ilvl w:val="0"/>
          <w:numId w:val="21"/>
        </w:numPr>
        <w:tabs>
          <w:tab w:val="clear" w:pos="774"/>
          <w:tab w:val="num" w:pos="720"/>
        </w:tabs>
        <w:spacing w:after="160" w:line="259" w:lineRule="auto"/>
        <w:ind w:left="720"/>
        <w:jc w:val="both"/>
        <w:rPr>
          <w:rFonts w:cs="Tahoma"/>
          <w:szCs w:val="24"/>
        </w:rPr>
      </w:pPr>
      <w:r w:rsidRPr="001124AF">
        <w:rPr>
          <w:rFonts w:cs="Tahoma"/>
          <w:szCs w:val="24"/>
          <w:u w:val="single"/>
        </w:rPr>
        <w:t>Fees and Compensation</w:t>
      </w:r>
    </w:p>
    <w:p w14:paraId="40606E9E" w14:textId="77777777" w:rsidR="001124AF" w:rsidRPr="001124AF" w:rsidRDefault="001124AF" w:rsidP="00637FD7">
      <w:pPr>
        <w:numPr>
          <w:ilvl w:val="0"/>
          <w:numId w:val="26"/>
        </w:numPr>
        <w:spacing w:after="160" w:line="259" w:lineRule="auto"/>
        <w:jc w:val="both"/>
        <w:rPr>
          <w:rFonts w:cs="Tahoma"/>
          <w:szCs w:val="24"/>
        </w:rPr>
      </w:pPr>
      <w:r w:rsidRPr="001124AF">
        <w:rPr>
          <w:rFonts w:cs="Tahoma"/>
          <w:szCs w:val="24"/>
        </w:rPr>
        <w:t>Estimated total hours to complete the HADCO audit report, the partnership tax returns, and audit reports.</w:t>
      </w:r>
    </w:p>
    <w:p w14:paraId="4E808255" w14:textId="77777777" w:rsidR="001124AF" w:rsidRPr="001124AF" w:rsidRDefault="001124AF" w:rsidP="00637FD7">
      <w:pPr>
        <w:numPr>
          <w:ilvl w:val="0"/>
          <w:numId w:val="25"/>
        </w:numPr>
        <w:tabs>
          <w:tab w:val="clear" w:pos="720"/>
          <w:tab w:val="num" w:pos="1440"/>
        </w:tabs>
        <w:spacing w:after="160" w:line="259" w:lineRule="auto"/>
        <w:ind w:left="1440"/>
        <w:jc w:val="both"/>
        <w:rPr>
          <w:rFonts w:cs="Tahoma"/>
          <w:szCs w:val="24"/>
        </w:rPr>
      </w:pPr>
      <w:r w:rsidRPr="001124AF">
        <w:rPr>
          <w:rFonts w:cs="Tahoma"/>
          <w:szCs w:val="24"/>
        </w:rPr>
        <w:t>The all-inclusive, “not-to-exceed” fee, including out-of-pocket expenses, for the HADCO audit report.</w:t>
      </w:r>
    </w:p>
    <w:p w14:paraId="3314D60A" w14:textId="77777777" w:rsidR="001124AF" w:rsidRPr="001124AF" w:rsidRDefault="001124AF" w:rsidP="00637FD7">
      <w:pPr>
        <w:numPr>
          <w:ilvl w:val="0"/>
          <w:numId w:val="25"/>
        </w:numPr>
        <w:tabs>
          <w:tab w:val="clear" w:pos="720"/>
          <w:tab w:val="num" w:pos="1440"/>
        </w:tabs>
        <w:spacing w:after="160" w:line="259" w:lineRule="auto"/>
        <w:ind w:left="1440"/>
        <w:jc w:val="both"/>
        <w:rPr>
          <w:rFonts w:cs="Tahoma"/>
          <w:szCs w:val="24"/>
        </w:rPr>
      </w:pPr>
      <w:r w:rsidRPr="001124AF">
        <w:rPr>
          <w:rFonts w:cs="Tahoma"/>
          <w:szCs w:val="24"/>
        </w:rPr>
        <w:t>The all-inclusive, “not-to-exceed” fee, including out-of-pocket expenses, for the partnership tax return and audit report.</w:t>
      </w:r>
    </w:p>
    <w:p w14:paraId="3613A395" w14:textId="6DA94F72" w:rsidR="001124AF" w:rsidRPr="00E74598" w:rsidRDefault="001124AF" w:rsidP="00E74598">
      <w:pPr>
        <w:numPr>
          <w:ilvl w:val="0"/>
          <w:numId w:val="25"/>
        </w:numPr>
        <w:tabs>
          <w:tab w:val="clear" w:pos="720"/>
          <w:tab w:val="num" w:pos="1440"/>
        </w:tabs>
        <w:spacing w:after="160" w:line="259" w:lineRule="auto"/>
        <w:ind w:left="1440"/>
        <w:jc w:val="both"/>
        <w:rPr>
          <w:rFonts w:cs="Tahoma"/>
          <w:szCs w:val="24"/>
        </w:rPr>
      </w:pPr>
      <w:r w:rsidRPr="001124AF">
        <w:rPr>
          <w:rFonts w:cs="Tahoma"/>
          <w:szCs w:val="24"/>
        </w:rPr>
        <w:t>The frequency and timing of the firm’s billing process.</w:t>
      </w:r>
    </w:p>
    <w:p w14:paraId="3DE8781E" w14:textId="537E80D9" w:rsidR="001124AF" w:rsidRPr="00E74598" w:rsidRDefault="0086777C" w:rsidP="00E74598">
      <w:pPr>
        <w:spacing w:after="160" w:line="259" w:lineRule="auto"/>
        <w:jc w:val="both"/>
        <w:rPr>
          <w:rFonts w:cs="Tahoma"/>
          <w:szCs w:val="24"/>
        </w:rPr>
      </w:pPr>
      <w:r w:rsidRPr="0086777C">
        <w:rPr>
          <w:rFonts w:cs="Tahoma"/>
          <w:bCs/>
          <w:szCs w:val="24"/>
        </w:rPr>
        <w:t xml:space="preserve">Proposals must completely address each applicable item listed in this RFP to be considered. </w:t>
      </w:r>
      <w:r>
        <w:rPr>
          <w:rFonts w:cs="Tahoma"/>
          <w:bCs/>
          <w:szCs w:val="24"/>
        </w:rPr>
        <w:t>I</w:t>
      </w:r>
      <w:r w:rsidR="001124AF" w:rsidRPr="001124AF">
        <w:rPr>
          <w:rFonts w:cs="Tahoma"/>
          <w:szCs w:val="24"/>
        </w:rPr>
        <w:t xml:space="preserve">nformation provided </w:t>
      </w:r>
      <w:r>
        <w:rPr>
          <w:rFonts w:cs="Tahoma"/>
          <w:szCs w:val="24"/>
        </w:rPr>
        <w:t>is</w:t>
      </w:r>
      <w:r w:rsidR="001124AF" w:rsidRPr="001124AF">
        <w:rPr>
          <w:rFonts w:cs="Tahoma"/>
          <w:szCs w:val="24"/>
        </w:rPr>
        <w:t xml:space="preserve"> subject to </w:t>
      </w:r>
      <w:r>
        <w:rPr>
          <w:rFonts w:cs="Tahoma"/>
          <w:szCs w:val="24"/>
        </w:rPr>
        <w:t>verification</w:t>
      </w:r>
      <w:r w:rsidR="001124AF" w:rsidRPr="001124AF">
        <w:rPr>
          <w:rFonts w:cs="Tahoma"/>
          <w:szCs w:val="24"/>
        </w:rPr>
        <w:t xml:space="preserve">. </w:t>
      </w:r>
      <w:r>
        <w:rPr>
          <w:rFonts w:cs="Tahoma"/>
          <w:szCs w:val="24"/>
        </w:rPr>
        <w:t>F</w:t>
      </w:r>
      <w:r w:rsidR="001124AF" w:rsidRPr="001124AF">
        <w:rPr>
          <w:rFonts w:cs="Tahoma"/>
          <w:szCs w:val="24"/>
        </w:rPr>
        <w:t>inancial information provided will be kept strictly confidential. HADCO reserves the right to refuse any or all proposals.</w:t>
      </w:r>
    </w:p>
    <w:p w14:paraId="44CA352E" w14:textId="69D329DD" w:rsidR="001124AF" w:rsidRPr="00E74598" w:rsidRDefault="001124AF" w:rsidP="00E74598">
      <w:pPr>
        <w:pStyle w:val="Heading2"/>
      </w:pPr>
      <w:r w:rsidRPr="001124AF">
        <w:t>Evaluation of Proposals</w:t>
      </w:r>
    </w:p>
    <w:p w14:paraId="1C670A0B" w14:textId="3AADE350" w:rsidR="001124AF" w:rsidRPr="001124AF" w:rsidRDefault="0086777C" w:rsidP="0086777C">
      <w:pPr>
        <w:spacing w:after="160" w:line="259" w:lineRule="auto"/>
        <w:jc w:val="both"/>
        <w:rPr>
          <w:rFonts w:cs="Tahoma"/>
          <w:szCs w:val="24"/>
        </w:rPr>
      </w:pPr>
      <w:r>
        <w:rPr>
          <w:rFonts w:cs="Tahoma"/>
          <w:szCs w:val="24"/>
        </w:rPr>
        <w:t>P</w:t>
      </w:r>
      <w:r w:rsidR="001124AF" w:rsidRPr="001124AF">
        <w:rPr>
          <w:rFonts w:cs="Tahoma"/>
          <w:szCs w:val="24"/>
        </w:rPr>
        <w:t xml:space="preserve">roposals will be presented at the </w:t>
      </w:r>
      <w:r w:rsidR="000102F2">
        <w:rPr>
          <w:rFonts w:cs="Tahoma"/>
          <w:szCs w:val="24"/>
        </w:rPr>
        <w:t>December 2025</w:t>
      </w:r>
      <w:r>
        <w:rPr>
          <w:rFonts w:cs="Tahoma"/>
          <w:szCs w:val="24"/>
        </w:rPr>
        <w:t xml:space="preserve">, HADCO Board of Commissioners </w:t>
      </w:r>
      <w:r w:rsidR="001124AF" w:rsidRPr="001124AF">
        <w:rPr>
          <w:rFonts w:cs="Tahoma"/>
          <w:szCs w:val="24"/>
        </w:rPr>
        <w:t>meeting and evaluated using a point system, separately for each engagement, based on the following:</w:t>
      </w:r>
    </w:p>
    <w:p w14:paraId="37F903CA" w14:textId="77777777" w:rsidR="001124AF" w:rsidRPr="001124AF" w:rsidRDefault="001124AF" w:rsidP="00637FD7">
      <w:pPr>
        <w:numPr>
          <w:ilvl w:val="1"/>
          <w:numId w:val="24"/>
        </w:numPr>
        <w:spacing w:after="160" w:line="259" w:lineRule="auto"/>
        <w:jc w:val="both"/>
        <w:rPr>
          <w:rFonts w:cs="Tahoma"/>
          <w:szCs w:val="24"/>
        </w:rPr>
      </w:pPr>
      <w:r w:rsidRPr="001124AF">
        <w:rPr>
          <w:rFonts w:cs="Tahoma"/>
          <w:szCs w:val="24"/>
        </w:rPr>
        <w:t>Qualifications of the firm (25%)</w:t>
      </w:r>
    </w:p>
    <w:p w14:paraId="67133446" w14:textId="77777777" w:rsidR="001124AF" w:rsidRPr="001124AF" w:rsidRDefault="001124AF" w:rsidP="00637FD7">
      <w:pPr>
        <w:numPr>
          <w:ilvl w:val="1"/>
          <w:numId w:val="24"/>
        </w:numPr>
        <w:spacing w:after="160" w:line="259" w:lineRule="auto"/>
        <w:jc w:val="both"/>
        <w:rPr>
          <w:rFonts w:cs="Tahoma"/>
          <w:szCs w:val="24"/>
        </w:rPr>
      </w:pPr>
      <w:r w:rsidRPr="001124AF">
        <w:rPr>
          <w:rFonts w:cs="Tahoma"/>
          <w:szCs w:val="24"/>
        </w:rPr>
        <w:t>Qualifications of the audit and/or tax team (30%)</w:t>
      </w:r>
    </w:p>
    <w:p w14:paraId="66C93DBD" w14:textId="77777777" w:rsidR="001124AF" w:rsidRPr="001124AF" w:rsidRDefault="001124AF" w:rsidP="00637FD7">
      <w:pPr>
        <w:numPr>
          <w:ilvl w:val="1"/>
          <w:numId w:val="24"/>
        </w:numPr>
        <w:spacing w:after="160" w:line="259" w:lineRule="auto"/>
        <w:jc w:val="both"/>
        <w:rPr>
          <w:rFonts w:cs="Tahoma"/>
          <w:szCs w:val="24"/>
        </w:rPr>
      </w:pPr>
      <w:r w:rsidRPr="001124AF">
        <w:rPr>
          <w:rFonts w:cs="Tahoma"/>
          <w:szCs w:val="24"/>
        </w:rPr>
        <w:t>Technical approach (20%)</w:t>
      </w:r>
    </w:p>
    <w:p w14:paraId="6324AD71" w14:textId="6299B647" w:rsidR="001124AF" w:rsidRPr="00E74598" w:rsidRDefault="001124AF" w:rsidP="00E74598">
      <w:pPr>
        <w:numPr>
          <w:ilvl w:val="1"/>
          <w:numId w:val="24"/>
        </w:numPr>
        <w:spacing w:after="160" w:line="259" w:lineRule="auto"/>
        <w:jc w:val="both"/>
        <w:rPr>
          <w:rFonts w:cs="Tahoma"/>
          <w:szCs w:val="24"/>
        </w:rPr>
      </w:pPr>
      <w:r w:rsidRPr="001124AF">
        <w:rPr>
          <w:rFonts w:cs="Tahoma"/>
          <w:szCs w:val="24"/>
        </w:rPr>
        <w:t>Fees and compensation (25%)</w:t>
      </w:r>
    </w:p>
    <w:p w14:paraId="6EF76A76" w14:textId="3871E706" w:rsidR="001124AF" w:rsidRPr="00E74598" w:rsidRDefault="001124AF" w:rsidP="0086777C">
      <w:pPr>
        <w:spacing w:after="160" w:line="259" w:lineRule="auto"/>
        <w:jc w:val="both"/>
        <w:rPr>
          <w:rFonts w:cs="Tahoma"/>
          <w:szCs w:val="24"/>
        </w:rPr>
      </w:pPr>
      <w:r w:rsidRPr="001124AF">
        <w:rPr>
          <w:rFonts w:cs="Tahoma"/>
          <w:szCs w:val="24"/>
        </w:rPr>
        <w:t>HADCO may, at its discretion, request a presentation from any or all firms to clarify their proposal but reserves the right to award the contract(s) without further discussion. Proposals</w:t>
      </w:r>
      <w:r w:rsidR="0086777C">
        <w:rPr>
          <w:rFonts w:cs="Tahoma"/>
          <w:szCs w:val="24"/>
        </w:rPr>
        <w:t xml:space="preserve"> </w:t>
      </w:r>
      <w:r w:rsidRPr="001124AF">
        <w:rPr>
          <w:rFonts w:cs="Tahoma"/>
          <w:szCs w:val="24"/>
        </w:rPr>
        <w:t>should be submitted initially with the most favorable terms, from both technical and price standpoints, that the firm can propose.</w:t>
      </w:r>
    </w:p>
    <w:sectPr w:rsidR="001124AF" w:rsidRPr="00E74598" w:rsidSect="001124AF">
      <w:headerReference w:type="default" r:id="rId10"/>
      <w:footerReference w:type="default" r:id="rId11"/>
      <w:footerReference w:type="first" r:id="rId12"/>
      <w:pgSz w:w="12240" w:h="15840"/>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334C9" w14:textId="77777777" w:rsidR="00303B43" w:rsidRDefault="00303B43" w:rsidP="00471DC8">
      <w:pPr>
        <w:spacing w:after="0" w:line="240" w:lineRule="auto"/>
      </w:pPr>
      <w:r>
        <w:separator/>
      </w:r>
    </w:p>
  </w:endnote>
  <w:endnote w:type="continuationSeparator" w:id="0">
    <w:p w14:paraId="43DE65A6" w14:textId="77777777" w:rsidR="00303B43" w:rsidRDefault="00303B43" w:rsidP="0047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2311" w14:textId="3F375636" w:rsidR="00DE482F" w:rsidRDefault="00DE482F" w:rsidP="00DE482F">
    <w:pPr>
      <w:pStyle w:val="Footer"/>
      <w:ind w:left="14" w:hanging="14"/>
      <w:jc w:val="center"/>
      <w:rPr>
        <w:rFonts w:cs="Tahoma"/>
        <w:sz w:val="20"/>
        <w:szCs w:val="20"/>
      </w:rPr>
    </w:pPr>
    <w:r>
      <w:rPr>
        <w:noProof/>
      </w:rPr>
      <mc:AlternateContent>
        <mc:Choice Requires="wps">
          <w:drawing>
            <wp:anchor distT="0" distB="0" distL="114300" distR="114300" simplePos="0" relativeHeight="251661312" behindDoc="0" locked="0" layoutInCell="1" allowOverlap="1" wp14:anchorId="2F4D5E0B" wp14:editId="4DE7EEC7">
              <wp:simplePos x="0" y="0"/>
              <wp:positionH relativeFrom="margin">
                <wp:posOffset>-466725</wp:posOffset>
              </wp:positionH>
              <wp:positionV relativeFrom="paragraph">
                <wp:posOffset>-57150</wp:posOffset>
              </wp:positionV>
              <wp:extent cx="7315200" cy="0"/>
              <wp:effectExtent l="0" t="19050" r="19050" b="19050"/>
              <wp:wrapNone/>
              <wp:docPr id="88004415"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w="38100" cmpd="sng">
                        <a:solidFill>
                          <a:srgbClr val="7671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A321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4.5pt" to="53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OUxAEAAOoDAAAOAAAAZHJzL2Uyb0RvYy54bWysU01v3CAQvVfqf0Dcu7YTNRtZ680hUXqp&#10;2qhtfgALg43El4Cuvf++A157o7ZS1SgXDMO8N/Me493dZDQ5QojK2Y42m5oSsNwJZfuOPv94/HBL&#10;SUzMCqadhY6eINK7/ft3u9G3cOUGpwUEgiQ2tqPv6JCSb6sq8gEMixvnweKldMGwhMfQVyKwEdmN&#10;rq7q+qYaXRA+OA4xYvRhvqT7wi8l8PRVygiJ6I5ib6msoayHvFb7HWv7wPyg+LkN9oouDFMWi65U&#10;Dywx8jOoP6iM4sFFJ9OGO1M5KRWHogHVNPVvar4PzEPRguZEv9oU346Wfzne26eANow+ttE/haxi&#10;ksHkL/ZHpmLWaTULpkQ4BrfXzUd8AUr4clddgD7E9AmcIXnTUa1s1sFadvwcExbD1CUlh7UlY0ev&#10;b5vCZ7zoaLR9QUSnlXhUWue8GPrDvQ7kyPA5tzfbZtvkF0S2F2l40haDF0Fll04a5lrfQBIlUEIz&#10;V8izBist4xxsWni1xewMk9jCCqz/DTznZyiUOfwf8IoolZ1NK9go68LfqqdpaVnO+YsDs+5swcGJ&#10;U3nqYg0OVHHuPPx5Yl+eC/zyi+5/AQAA//8DAFBLAwQUAAYACAAAACEALog/9d8AAAAKAQAADwAA&#10;AGRycy9kb3ducmV2LnhtbEyPwU7DMBBE70j8g7VIXFBrt6htGuJUUITKgQulH+DGSxJhr6PYbUO/&#10;nq04wG13djT7plgN3okj9rENpGEyViCQqmBbqjXsPl5GGYiYDFnjAqGGb4ywKq+vCpPbcKJ3PG5T&#10;LTiEYm40NCl1uZSxatCbOA4dEt8+Q+9N4rWvpe3NicO9k1Ol5tKblvhDYzpcN1h9bQ+eU9z8PL3L&#10;lk/nzfNssn5Vb5udrbS+vRkeH0AkHNKfGS74jA4lM+3DgWwUTsNocT9jKw9L7nQxqEXGyv5XkWUh&#10;/1cofwAAAP//AwBQSwECLQAUAAYACAAAACEAtoM4kv4AAADhAQAAEwAAAAAAAAAAAAAAAAAAAAAA&#10;W0NvbnRlbnRfVHlwZXNdLnhtbFBLAQItABQABgAIAAAAIQA4/SH/1gAAAJQBAAALAAAAAAAAAAAA&#10;AAAAAC8BAABfcmVscy8ucmVsc1BLAQItABQABgAIAAAAIQALPtOUxAEAAOoDAAAOAAAAAAAAAAAA&#10;AAAAAC4CAABkcnMvZTJvRG9jLnhtbFBLAQItABQABgAIAAAAIQAuiD/13wAAAAoBAAAPAAAAAAAA&#10;AAAAAAAAAB4EAABkcnMvZG93bnJldi54bWxQSwUGAAAAAAQABADzAAAAKgUAAAAA&#10;" strokecolor="#767171" strokeweight="3pt">
              <v:stroke joinstyle="miter"/>
              <w10:wrap anchorx="margin"/>
            </v:line>
          </w:pict>
        </mc:Fallback>
      </mc:AlternateContent>
    </w:r>
    <w:r w:rsidRPr="00755F4F">
      <w:rPr>
        <w:rFonts w:cs="Tahoma"/>
        <w:b/>
        <w:bCs/>
        <w:noProof/>
        <w:sz w:val="20"/>
        <w:szCs w:val="20"/>
      </w:rPr>
      <w:drawing>
        <wp:anchor distT="0" distB="0" distL="114300" distR="114300" simplePos="0" relativeHeight="251662336" behindDoc="1" locked="0" layoutInCell="1" allowOverlap="1" wp14:anchorId="7330E04B" wp14:editId="035E265D">
          <wp:simplePos x="0" y="0"/>
          <wp:positionH relativeFrom="rightMargin">
            <wp:align>left</wp:align>
          </wp:positionH>
          <wp:positionV relativeFrom="page">
            <wp:posOffset>9315450</wp:posOffset>
          </wp:positionV>
          <wp:extent cx="343535" cy="365760"/>
          <wp:effectExtent l="0" t="0" r="0" b="0"/>
          <wp:wrapNone/>
          <wp:docPr id="10551605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051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3535" cy="365760"/>
                  </a:xfrm>
                  <a:prstGeom prst="rect">
                    <a:avLst/>
                  </a:prstGeom>
                </pic:spPr>
              </pic:pic>
            </a:graphicData>
          </a:graphic>
          <wp14:sizeRelH relativeFrom="page">
            <wp14:pctWidth>0</wp14:pctWidth>
          </wp14:sizeRelH>
          <wp14:sizeRelV relativeFrom="page">
            <wp14:pctHeight>0</wp14:pctHeight>
          </wp14:sizeRelV>
        </wp:anchor>
      </w:drawing>
    </w:r>
    <w:r w:rsidRPr="00A272B2">
      <w:rPr>
        <w:rFonts w:cs="Tahoma"/>
        <w:sz w:val="20"/>
        <w:szCs w:val="20"/>
      </w:rPr>
      <w:t>1000 W</w:t>
    </w:r>
    <w:r>
      <w:rPr>
        <w:rFonts w:cs="Tahoma"/>
        <w:sz w:val="20"/>
        <w:szCs w:val="20"/>
      </w:rPr>
      <w:t>est</w:t>
    </w:r>
    <w:r w:rsidRPr="00A272B2">
      <w:rPr>
        <w:rFonts w:cs="Tahoma"/>
        <w:sz w:val="20"/>
        <w:szCs w:val="20"/>
      </w:rPr>
      <w:t xml:space="preserve"> Stanton Street, Roseburg, O</w:t>
    </w:r>
    <w:r>
      <w:rPr>
        <w:rFonts w:cs="Tahoma"/>
        <w:sz w:val="20"/>
        <w:szCs w:val="20"/>
      </w:rPr>
      <w:t>regon</w:t>
    </w:r>
    <w:r w:rsidRPr="00A272B2">
      <w:rPr>
        <w:rFonts w:cs="Tahoma"/>
        <w:sz w:val="20"/>
        <w:szCs w:val="20"/>
      </w:rPr>
      <w:t xml:space="preserve"> 97471 </w:t>
    </w:r>
  </w:p>
  <w:p w14:paraId="202E1AC5" w14:textId="77777777" w:rsidR="00DE482F" w:rsidRDefault="00DE482F" w:rsidP="00DE482F">
    <w:pPr>
      <w:pStyle w:val="Footer"/>
      <w:ind w:left="14" w:hanging="14"/>
      <w:jc w:val="center"/>
      <w:rPr>
        <w:rFonts w:cs="Tahoma"/>
        <w:sz w:val="20"/>
        <w:szCs w:val="20"/>
      </w:rPr>
    </w:pPr>
    <w:r w:rsidRPr="00A272B2">
      <w:rPr>
        <w:rFonts w:cs="Tahoma"/>
        <w:sz w:val="20"/>
        <w:szCs w:val="20"/>
      </w:rPr>
      <w:t>Phone (541) 673-6548</w:t>
    </w:r>
    <w:r>
      <w:rPr>
        <w:rFonts w:cs="Tahoma"/>
        <w:sz w:val="20"/>
        <w:szCs w:val="20"/>
      </w:rPr>
      <w:t xml:space="preserve"> |</w:t>
    </w:r>
    <w:r w:rsidRPr="00A272B2">
      <w:rPr>
        <w:rFonts w:cs="Tahoma"/>
        <w:sz w:val="20"/>
        <w:szCs w:val="20"/>
      </w:rPr>
      <w:t xml:space="preserve"> Fax (541) 673-8230 </w:t>
    </w:r>
    <w:r>
      <w:rPr>
        <w:rFonts w:cs="Tahoma"/>
        <w:sz w:val="20"/>
        <w:szCs w:val="20"/>
      </w:rPr>
      <w:t xml:space="preserve">| </w:t>
    </w:r>
    <w:r w:rsidRPr="00A272B2">
      <w:rPr>
        <w:rFonts w:cs="Tahoma"/>
        <w:sz w:val="20"/>
        <w:szCs w:val="20"/>
      </w:rPr>
      <w:t>TTY (800) 735-2900</w:t>
    </w:r>
  </w:p>
  <w:p w14:paraId="05C72190" w14:textId="387CD6BA" w:rsidR="000A7DF3" w:rsidRPr="00DE482F" w:rsidRDefault="00DE482F" w:rsidP="00DE482F">
    <w:pPr>
      <w:pStyle w:val="Footer"/>
      <w:ind w:left="14" w:hanging="14"/>
      <w:jc w:val="center"/>
      <w:rPr>
        <w:rFonts w:cs="Tahoma"/>
        <w:b/>
        <w:bCs/>
        <w:sz w:val="20"/>
        <w:szCs w:val="20"/>
      </w:rPr>
    </w:pPr>
    <w:r w:rsidRPr="00500EEF">
      <w:rPr>
        <w:rFonts w:cs="Tahoma"/>
        <w:b/>
        <w:bCs/>
        <w:sz w:val="20"/>
        <w:szCs w:val="20"/>
      </w:rPr>
      <w:t>Equal Housing Opportunity Provider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8277" w14:textId="77777777" w:rsidR="007E67A6" w:rsidRDefault="00150CEC" w:rsidP="007E67A6">
    <w:pPr>
      <w:pStyle w:val="Footer"/>
      <w:ind w:left="14" w:hanging="14"/>
      <w:jc w:val="center"/>
      <w:rPr>
        <w:rFonts w:cs="Tahoma"/>
        <w:sz w:val="20"/>
        <w:szCs w:val="20"/>
      </w:rPr>
    </w:pPr>
    <w:r w:rsidRPr="00A272B2">
      <w:rPr>
        <w:rFonts w:cs="Tahoma"/>
        <w:sz w:val="20"/>
        <w:szCs w:val="20"/>
      </w:rPr>
      <w:t xml:space="preserve">1000 W Stanton Street, Roseburg, OR 97471 </w:t>
    </w:r>
    <w:r w:rsidR="00A272B2" w:rsidRPr="00A272B2">
      <w:rPr>
        <w:rFonts w:cs="Tahoma"/>
        <w:sz w:val="20"/>
        <w:szCs w:val="20"/>
      </w:rPr>
      <w:t xml:space="preserve">| </w:t>
    </w:r>
    <w:r w:rsidRPr="00A272B2">
      <w:rPr>
        <w:rFonts w:cs="Tahoma"/>
        <w:sz w:val="20"/>
        <w:szCs w:val="20"/>
      </w:rPr>
      <w:t xml:space="preserve">Phone (541) 673-6548 </w:t>
    </w:r>
  </w:p>
  <w:p w14:paraId="5E57D344" w14:textId="77777777" w:rsidR="00150CEC" w:rsidRPr="00A272B2" w:rsidRDefault="00150CEC" w:rsidP="00A272B2">
    <w:pPr>
      <w:pStyle w:val="Footer"/>
      <w:jc w:val="center"/>
      <w:rPr>
        <w:rFonts w:cs="Tahoma"/>
        <w:sz w:val="20"/>
        <w:szCs w:val="20"/>
      </w:rPr>
    </w:pPr>
    <w:r w:rsidRPr="00A272B2">
      <w:rPr>
        <w:rFonts w:cs="Tahoma"/>
        <w:sz w:val="20"/>
        <w:szCs w:val="20"/>
      </w:rPr>
      <w:t xml:space="preserve">Fax (541) 673-8230 </w:t>
    </w:r>
    <w:r w:rsidR="007E67A6">
      <w:rPr>
        <w:rFonts w:cs="Tahoma"/>
        <w:sz w:val="20"/>
        <w:szCs w:val="20"/>
      </w:rPr>
      <w:t xml:space="preserve">| </w:t>
    </w:r>
    <w:r w:rsidRPr="00A272B2">
      <w:rPr>
        <w:rFonts w:cs="Tahoma"/>
        <w:sz w:val="20"/>
        <w:szCs w:val="20"/>
      </w:rPr>
      <w:t>TTY (800) 735-2900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3064" w14:textId="77777777" w:rsidR="00303B43" w:rsidRDefault="00303B43" w:rsidP="00471DC8">
      <w:pPr>
        <w:spacing w:after="0" w:line="240" w:lineRule="auto"/>
      </w:pPr>
      <w:r>
        <w:separator/>
      </w:r>
    </w:p>
  </w:footnote>
  <w:footnote w:type="continuationSeparator" w:id="0">
    <w:p w14:paraId="4E61C2D3" w14:textId="77777777" w:rsidR="00303B43" w:rsidRDefault="00303B43" w:rsidP="0047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9F61" w14:textId="77777777" w:rsidR="003D7CDA" w:rsidRDefault="003D7CDA" w:rsidP="003D7CDA">
    <w:pPr>
      <w:pStyle w:val="Header"/>
      <w:spacing w:after="240"/>
      <w:ind w:left="14" w:hanging="14"/>
      <w:jc w:val="center"/>
    </w:pPr>
    <w:r>
      <w:rPr>
        <w:noProof/>
      </w:rPr>
      <mc:AlternateContent>
        <mc:Choice Requires="wps">
          <w:drawing>
            <wp:anchor distT="0" distB="0" distL="114300" distR="114300" simplePos="0" relativeHeight="251659264" behindDoc="0" locked="0" layoutInCell="1" allowOverlap="1" wp14:anchorId="0E11ADF3" wp14:editId="574B0404">
              <wp:simplePos x="0" y="0"/>
              <wp:positionH relativeFrom="margin">
                <wp:align>center</wp:align>
              </wp:positionH>
              <wp:positionV relativeFrom="paragraph">
                <wp:posOffset>942975</wp:posOffset>
              </wp:positionV>
              <wp:extent cx="6858000" cy="0"/>
              <wp:effectExtent l="0" t="19050" r="19050" b="19050"/>
              <wp:wrapNone/>
              <wp:docPr id="211195682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cmpd="sng">
                        <a:solidFill>
                          <a:srgbClr val="7671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812D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25pt" to="540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tDxAEAAOoDAAAOAAAAZHJzL2Uyb0RvYy54bWysU9uO0zAQfUfiHyy/0ySLaKuo6T7sanlB&#10;sOLyAa49Tiz5Jts06d8zdpp0BUgIxItjj+ecmXM8OdxPRpMzhKic7WizqSkBy51Qtu/ot69Pb/aU&#10;xMSsYNpZ6OgFIr0/vn51GH0Ld25wWkAgSGJjO/qODin5tqoiH8CwuHEeLF5KFwxLeAx9JQIbkd3o&#10;6q6ut9XogvDBcYgRo4/zJT0WfimBp09SRkhEdxR7S2UNZT3ltToeWNsH5gfFr22wf+jCMGWx6Er1&#10;yBIj34P6hcooHlx0Mm24M5WTUnEoGlBNU/+k5svAPBQtaE70q03x/9Hyj+cH+xzQhtHHNvrnkFVM&#10;Mpj8xf7IVMy6rGbBlAjH4Hb/bl/X6Clf7qob0IeY3oMzJG86qpXNOljLzh9iwmKYuqTksLZk7Ojb&#10;fVP4jBcdjbYviOi0Ek9K65wXQ3960IGcGT7nbrtrdk1+QWR7kYYnbTF4E1R26aJhrvUZJFECJTRz&#10;hTxrsNIyzsGmhVdbzM4wiS2swPrPwGt+hkKZw78Br4hS2dm0go2yLvyuepqWluWcvzgw684WnJy4&#10;lKcu1uBAFeeuw58n9uW5wG+/6PEHAAAA//8DAFBLAwQUAAYACAAAACEAqspUPN0AAAAJAQAADwAA&#10;AGRycy9kb3ducmV2LnhtbEyPwU7DMBBE75X6D9Yicamo3YpWIcSpShEqBy6UfoAbL0mEvY5itw39&#10;erYSEhz3zWh2plgN3okT9rENpGE2VSCQqmBbqjXsP17uMhAxGbLGBUIN3xhhVY5HhcltONM7nnap&#10;FhxCMTcampS6XMpYNehNnIYOibXP0HuT+OxraXtz5nDv5FyppfSmJf7QmA43DVZfu6PnFLe8zCfZ&#10;w9Nl+7yYbV7V23ZvK61vb4b1I4iEQ/ozw7U+V4eSOx3CkWwUTgMPSUzvswWIq6wyxejwi2RZyP8L&#10;yh8AAAD//wMAUEsBAi0AFAAGAAgAAAAhALaDOJL+AAAA4QEAABMAAAAAAAAAAAAAAAAAAAAAAFtD&#10;b250ZW50X1R5cGVzXS54bWxQSwECLQAUAAYACAAAACEAOP0h/9YAAACUAQAACwAAAAAAAAAAAAAA&#10;AAAvAQAAX3JlbHMvLnJlbHNQSwECLQAUAAYACAAAACEA9UyrQ8QBAADqAwAADgAAAAAAAAAAAAAA&#10;AAAuAgAAZHJzL2Uyb0RvYy54bWxQSwECLQAUAAYACAAAACEAqspUPN0AAAAJAQAADwAAAAAAAAAA&#10;AAAAAAAeBAAAZHJzL2Rvd25yZXYueG1sUEsFBgAAAAAEAAQA8wAAACgFAAAAAA==&#10;" strokecolor="#767171" strokeweight="3pt">
              <v:stroke joinstyle="miter"/>
              <w10:wrap anchorx="margin"/>
            </v:line>
          </w:pict>
        </mc:Fallback>
      </mc:AlternateContent>
    </w:r>
    <w:r>
      <w:rPr>
        <w:noProof/>
      </w:rPr>
      <w:drawing>
        <wp:inline distT="0" distB="0" distL="0" distR="0" wp14:anchorId="73E5E4E4" wp14:editId="558AFE0E">
          <wp:extent cx="4039985" cy="914400"/>
          <wp:effectExtent l="0" t="0" r="0" b="0"/>
          <wp:docPr id="925781209" name="Picture 925781209"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56641" name="Picture 1" descr="A picture containing text, font, graphics,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3998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D34"/>
    <w:multiLevelType w:val="hybridMultilevel"/>
    <w:tmpl w:val="F6B03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B3E4E"/>
    <w:multiLevelType w:val="hybridMultilevel"/>
    <w:tmpl w:val="E4D2E11E"/>
    <w:lvl w:ilvl="0" w:tplc="FB022BA4">
      <w:start w:val="1"/>
      <w:numFmt w:val="decimal"/>
      <w:lvlText w:val="%1."/>
      <w:lvlJc w:val="left"/>
      <w:pPr>
        <w:tabs>
          <w:tab w:val="num" w:pos="360"/>
        </w:tabs>
        <w:ind w:left="360" w:hanging="360"/>
      </w:pPr>
      <w:rPr>
        <w:rFonts w:hint="default"/>
        <w:i w:val="0"/>
      </w:rPr>
    </w:lvl>
    <w:lvl w:ilvl="1" w:tplc="4650D642">
      <w:start w:val="1"/>
      <w:numFmt w:val="upperLetter"/>
      <w:lvlText w:val="%2."/>
      <w:lvlJc w:val="left"/>
      <w:pPr>
        <w:tabs>
          <w:tab w:val="num" w:pos="1080"/>
        </w:tabs>
        <w:ind w:left="1080" w:hanging="360"/>
      </w:pPr>
      <w:rPr>
        <w:rFonts w:hint="default"/>
      </w:rPr>
    </w:lvl>
    <w:lvl w:ilvl="2" w:tplc="42AC1E26">
      <w:start w:val="1"/>
      <w:numFmt w:val="decimal"/>
      <w:lvlText w:val="(%3)"/>
      <w:lvlJc w:val="left"/>
      <w:pPr>
        <w:tabs>
          <w:tab w:val="num" w:pos="1980"/>
        </w:tabs>
        <w:ind w:left="1980" w:hanging="360"/>
      </w:pPr>
      <w:rPr>
        <w:rFonts w:hint="default"/>
      </w:rPr>
    </w:lvl>
    <w:lvl w:ilvl="3" w:tplc="2632C0A8">
      <w:start w:val="1"/>
      <w:numFmt w:val="decimal"/>
      <w:lvlText w:val="%4."/>
      <w:lvlJc w:val="left"/>
      <w:pPr>
        <w:tabs>
          <w:tab w:val="num" w:pos="2520"/>
        </w:tabs>
        <w:ind w:left="2520" w:hanging="360"/>
      </w:pPr>
      <w:rPr>
        <w:rFonts w:hint="default"/>
      </w:rPr>
    </w:lvl>
    <w:lvl w:ilvl="4" w:tplc="BAB2B61A">
      <w:start w:val="1"/>
      <w:numFmt w:val="decimal"/>
      <w:lvlText w:val="(%5.)"/>
      <w:lvlJc w:val="left"/>
      <w:pPr>
        <w:tabs>
          <w:tab w:val="num" w:pos="3270"/>
        </w:tabs>
        <w:ind w:left="3270" w:hanging="39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6F78AE"/>
    <w:multiLevelType w:val="hybridMultilevel"/>
    <w:tmpl w:val="E01A09A8"/>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3" w15:restartNumberingAfterBreak="0">
    <w:nsid w:val="0F9746E8"/>
    <w:multiLevelType w:val="hybridMultilevel"/>
    <w:tmpl w:val="C48E38E2"/>
    <w:lvl w:ilvl="0" w:tplc="0409000F">
      <w:start w:val="1"/>
      <w:numFmt w:val="decimal"/>
      <w:lvlText w:val="%1."/>
      <w:lvlJc w:val="left"/>
      <w:pPr>
        <w:tabs>
          <w:tab w:val="num" w:pos="774"/>
        </w:tabs>
        <w:ind w:left="774"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 w15:restartNumberingAfterBreak="0">
    <w:nsid w:val="16ED3539"/>
    <w:multiLevelType w:val="hybridMultilevel"/>
    <w:tmpl w:val="324AB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170EC"/>
    <w:multiLevelType w:val="hybridMultilevel"/>
    <w:tmpl w:val="CB46BA46"/>
    <w:lvl w:ilvl="0" w:tplc="C9DA2AF6">
      <w:start w:val="3"/>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67A70"/>
    <w:multiLevelType w:val="hybridMultilevel"/>
    <w:tmpl w:val="F61E9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80DF9"/>
    <w:multiLevelType w:val="hybridMultilevel"/>
    <w:tmpl w:val="96B28F64"/>
    <w:lvl w:ilvl="0" w:tplc="E84096EC">
      <w:start w:val="1"/>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80653"/>
    <w:multiLevelType w:val="hybridMultilevel"/>
    <w:tmpl w:val="5F0E29C4"/>
    <w:lvl w:ilvl="0" w:tplc="CD1C51DC">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27B84"/>
    <w:multiLevelType w:val="hybridMultilevel"/>
    <w:tmpl w:val="759E8BB6"/>
    <w:lvl w:ilvl="0" w:tplc="0409000F">
      <w:start w:val="2"/>
      <w:numFmt w:val="decimal"/>
      <w:lvlText w:val="%1."/>
      <w:lvlJc w:val="left"/>
      <w:pPr>
        <w:tabs>
          <w:tab w:val="num" w:pos="720"/>
        </w:tabs>
        <w:ind w:left="720" w:hanging="360"/>
      </w:pPr>
      <w:rPr>
        <w:rFonts w:hint="default"/>
      </w:rPr>
    </w:lvl>
    <w:lvl w:ilvl="1" w:tplc="7D72DE00">
      <w:start w:val="1"/>
      <w:numFmt w:val="upperLetter"/>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4B1CD0"/>
    <w:multiLevelType w:val="hybridMultilevel"/>
    <w:tmpl w:val="1722B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05AAE"/>
    <w:multiLevelType w:val="hybridMultilevel"/>
    <w:tmpl w:val="FAA8A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10031"/>
    <w:multiLevelType w:val="hybridMultilevel"/>
    <w:tmpl w:val="12C0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25470"/>
    <w:multiLevelType w:val="hybridMultilevel"/>
    <w:tmpl w:val="0910E5EC"/>
    <w:lvl w:ilvl="0" w:tplc="0804DD36">
      <w:start w:val="1"/>
      <w:numFmt w:val="lowerLetter"/>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921F6"/>
    <w:multiLevelType w:val="singleLevel"/>
    <w:tmpl w:val="15EC7272"/>
    <w:lvl w:ilvl="0">
      <w:start w:val="1"/>
      <w:numFmt w:val="decimal"/>
      <w:lvlText w:val="(%1)"/>
      <w:lvlJc w:val="left"/>
      <w:pPr>
        <w:tabs>
          <w:tab w:val="num" w:pos="4320"/>
        </w:tabs>
        <w:ind w:left="4320" w:hanging="720"/>
      </w:pPr>
      <w:rPr>
        <w:rFonts w:hint="default"/>
      </w:rPr>
    </w:lvl>
  </w:abstractNum>
  <w:abstractNum w:abstractNumId="15" w15:restartNumberingAfterBreak="0">
    <w:nsid w:val="3AB5638B"/>
    <w:multiLevelType w:val="hybridMultilevel"/>
    <w:tmpl w:val="1B60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C57B6"/>
    <w:multiLevelType w:val="hybridMultilevel"/>
    <w:tmpl w:val="091CEC4E"/>
    <w:lvl w:ilvl="0" w:tplc="370C33F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35D"/>
    <w:multiLevelType w:val="hybridMultilevel"/>
    <w:tmpl w:val="252EB3D0"/>
    <w:lvl w:ilvl="0" w:tplc="E0E0B1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0380A"/>
    <w:multiLevelType w:val="hybridMultilevel"/>
    <w:tmpl w:val="5BD8E6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F6082F"/>
    <w:multiLevelType w:val="hybridMultilevel"/>
    <w:tmpl w:val="3B0486B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C76C3C"/>
    <w:multiLevelType w:val="hybridMultilevel"/>
    <w:tmpl w:val="FF1C58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7FE7B06"/>
    <w:multiLevelType w:val="hybridMultilevel"/>
    <w:tmpl w:val="AA9ED8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416541"/>
    <w:multiLevelType w:val="hybridMultilevel"/>
    <w:tmpl w:val="765043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2215A"/>
    <w:multiLevelType w:val="hybridMultilevel"/>
    <w:tmpl w:val="2166C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4C64FCB"/>
    <w:multiLevelType w:val="hybridMultilevel"/>
    <w:tmpl w:val="A422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E2AEA"/>
    <w:multiLevelType w:val="hybridMultilevel"/>
    <w:tmpl w:val="1B8E5D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B4A92"/>
    <w:multiLevelType w:val="hybridMultilevel"/>
    <w:tmpl w:val="E53E2A0A"/>
    <w:lvl w:ilvl="0" w:tplc="0409000F">
      <w:start w:val="1"/>
      <w:numFmt w:val="decimal"/>
      <w:lvlText w:val="%1."/>
      <w:lvlJc w:val="left"/>
      <w:pPr>
        <w:tabs>
          <w:tab w:val="num" w:pos="774"/>
        </w:tabs>
        <w:ind w:left="774" w:hanging="360"/>
      </w:pPr>
    </w:lvl>
    <w:lvl w:ilvl="1" w:tplc="04090001">
      <w:start w:val="1"/>
      <w:numFmt w:val="bullet"/>
      <w:lvlText w:val=""/>
      <w:lvlJc w:val="left"/>
      <w:pPr>
        <w:tabs>
          <w:tab w:val="num" w:pos="1494"/>
        </w:tabs>
        <w:ind w:left="1494" w:hanging="360"/>
      </w:pPr>
      <w:rPr>
        <w:rFonts w:ascii="Symbol" w:hAnsi="Symbol" w:hint="default"/>
      </w:rPr>
    </w:lvl>
    <w:lvl w:ilvl="2" w:tplc="0409000F">
      <w:start w:val="1"/>
      <w:numFmt w:val="decimal"/>
      <w:lvlText w:val="%3."/>
      <w:lvlJc w:val="left"/>
      <w:pPr>
        <w:tabs>
          <w:tab w:val="num" w:pos="2394"/>
        </w:tabs>
        <w:ind w:left="2394" w:hanging="36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27" w15:restartNumberingAfterBreak="0">
    <w:nsid w:val="6EE4779A"/>
    <w:multiLevelType w:val="hybridMultilevel"/>
    <w:tmpl w:val="D1D6824A"/>
    <w:lvl w:ilvl="0" w:tplc="04090011">
      <w:start w:val="1"/>
      <w:numFmt w:val="decimal"/>
      <w:lvlText w:val="%1)"/>
      <w:lvlJc w:val="left"/>
      <w:pPr>
        <w:ind w:left="720" w:hanging="360"/>
      </w:pPr>
    </w:lvl>
    <w:lvl w:ilvl="1" w:tplc="F1AC1CFA">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75521"/>
    <w:multiLevelType w:val="hybridMultilevel"/>
    <w:tmpl w:val="13727066"/>
    <w:lvl w:ilvl="0" w:tplc="C9DA2AF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E5040F"/>
    <w:multiLevelType w:val="hybridMultilevel"/>
    <w:tmpl w:val="A8E86C52"/>
    <w:lvl w:ilvl="0" w:tplc="AED6C9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57560"/>
    <w:multiLevelType w:val="hybridMultilevel"/>
    <w:tmpl w:val="5B5A17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3C731B"/>
    <w:multiLevelType w:val="hybridMultilevel"/>
    <w:tmpl w:val="2B9A24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268813">
    <w:abstractNumId w:val="12"/>
  </w:num>
  <w:num w:numId="2" w16cid:durableId="1715347665">
    <w:abstractNumId w:val="1"/>
  </w:num>
  <w:num w:numId="3" w16cid:durableId="2022663502">
    <w:abstractNumId w:val="14"/>
  </w:num>
  <w:num w:numId="4" w16cid:durableId="146097743">
    <w:abstractNumId w:val="29"/>
  </w:num>
  <w:num w:numId="5" w16cid:durableId="1150557475">
    <w:abstractNumId w:val="27"/>
  </w:num>
  <w:num w:numId="6" w16cid:durableId="1199011150">
    <w:abstractNumId w:val="0"/>
  </w:num>
  <w:num w:numId="7" w16cid:durableId="1142818885">
    <w:abstractNumId w:val="30"/>
  </w:num>
  <w:num w:numId="8" w16cid:durableId="1302542564">
    <w:abstractNumId w:val="18"/>
  </w:num>
  <w:num w:numId="9" w16cid:durableId="1044404231">
    <w:abstractNumId w:val="22"/>
  </w:num>
  <w:num w:numId="10" w16cid:durableId="1786802204">
    <w:abstractNumId w:val="10"/>
  </w:num>
  <w:num w:numId="11" w16cid:durableId="537470680">
    <w:abstractNumId w:val="24"/>
  </w:num>
  <w:num w:numId="12" w16cid:durableId="1136027323">
    <w:abstractNumId w:val="25"/>
  </w:num>
  <w:num w:numId="13" w16cid:durableId="581833455">
    <w:abstractNumId w:val="6"/>
  </w:num>
  <w:num w:numId="14" w16cid:durableId="1880506264">
    <w:abstractNumId w:val="31"/>
  </w:num>
  <w:num w:numId="15" w16cid:durableId="356586444">
    <w:abstractNumId w:val="11"/>
  </w:num>
  <w:num w:numId="16" w16cid:durableId="1126121977">
    <w:abstractNumId w:val="7"/>
  </w:num>
  <w:num w:numId="17" w16cid:durableId="2007783634">
    <w:abstractNumId w:val="13"/>
  </w:num>
  <w:num w:numId="18" w16cid:durableId="595094382">
    <w:abstractNumId w:val="16"/>
  </w:num>
  <w:num w:numId="19" w16cid:durableId="303582563">
    <w:abstractNumId w:val="21"/>
  </w:num>
  <w:num w:numId="20" w16cid:durableId="26102314">
    <w:abstractNumId w:val="3"/>
  </w:num>
  <w:num w:numId="21" w16cid:durableId="1963724903">
    <w:abstractNumId w:val="26"/>
  </w:num>
  <w:num w:numId="22" w16cid:durableId="1941835594">
    <w:abstractNumId w:val="19"/>
  </w:num>
  <w:num w:numId="23" w16cid:durableId="988947830">
    <w:abstractNumId w:val="5"/>
  </w:num>
  <w:num w:numId="24" w16cid:durableId="1804036808">
    <w:abstractNumId w:val="28"/>
  </w:num>
  <w:num w:numId="25" w16cid:durableId="1433473797">
    <w:abstractNumId w:val="4"/>
  </w:num>
  <w:num w:numId="26" w16cid:durableId="1734155114">
    <w:abstractNumId w:val="20"/>
  </w:num>
  <w:num w:numId="27" w16cid:durableId="1746563256">
    <w:abstractNumId w:val="23"/>
  </w:num>
  <w:num w:numId="28" w16cid:durableId="190533644">
    <w:abstractNumId w:val="2"/>
  </w:num>
  <w:num w:numId="29" w16cid:durableId="340398165">
    <w:abstractNumId w:val="9"/>
  </w:num>
  <w:num w:numId="30" w16cid:durableId="1068773196">
    <w:abstractNumId w:val="8"/>
  </w:num>
  <w:num w:numId="31" w16cid:durableId="879636063">
    <w:abstractNumId w:val="17"/>
  </w:num>
  <w:num w:numId="32" w16cid:durableId="16581926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59"/>
    <w:rsid w:val="0000038D"/>
    <w:rsid w:val="00005D89"/>
    <w:rsid w:val="000102F2"/>
    <w:rsid w:val="00020DA4"/>
    <w:rsid w:val="00021BD7"/>
    <w:rsid w:val="0004242C"/>
    <w:rsid w:val="000441E4"/>
    <w:rsid w:val="00044269"/>
    <w:rsid w:val="00045285"/>
    <w:rsid w:val="000472B1"/>
    <w:rsid w:val="000676F6"/>
    <w:rsid w:val="000726C6"/>
    <w:rsid w:val="000741F8"/>
    <w:rsid w:val="00085059"/>
    <w:rsid w:val="0009453A"/>
    <w:rsid w:val="000A0B0A"/>
    <w:rsid w:val="000A16BB"/>
    <w:rsid w:val="000A2C5A"/>
    <w:rsid w:val="000A2D3E"/>
    <w:rsid w:val="000A3995"/>
    <w:rsid w:val="000A4568"/>
    <w:rsid w:val="000A7DF3"/>
    <w:rsid w:val="000B1FD0"/>
    <w:rsid w:val="000C047E"/>
    <w:rsid w:val="000C7CEA"/>
    <w:rsid w:val="000E13DE"/>
    <w:rsid w:val="000E1E5F"/>
    <w:rsid w:val="00100BCE"/>
    <w:rsid w:val="001019EE"/>
    <w:rsid w:val="00103A96"/>
    <w:rsid w:val="00110596"/>
    <w:rsid w:val="001124AF"/>
    <w:rsid w:val="00114DD9"/>
    <w:rsid w:val="00126D84"/>
    <w:rsid w:val="001460D5"/>
    <w:rsid w:val="001505F1"/>
    <w:rsid w:val="00150CEC"/>
    <w:rsid w:val="001530EC"/>
    <w:rsid w:val="00162841"/>
    <w:rsid w:val="00180AA3"/>
    <w:rsid w:val="00181377"/>
    <w:rsid w:val="001833E2"/>
    <w:rsid w:val="00193893"/>
    <w:rsid w:val="001A0EAE"/>
    <w:rsid w:val="001A791A"/>
    <w:rsid w:val="001B0EB8"/>
    <w:rsid w:val="001B2E7A"/>
    <w:rsid w:val="001B7857"/>
    <w:rsid w:val="001C56CB"/>
    <w:rsid w:val="001D48ED"/>
    <w:rsid w:val="001D5D41"/>
    <w:rsid w:val="001D5DA2"/>
    <w:rsid w:val="001E0EF5"/>
    <w:rsid w:val="001E1B51"/>
    <w:rsid w:val="001E7E21"/>
    <w:rsid w:val="001F50F0"/>
    <w:rsid w:val="00200555"/>
    <w:rsid w:val="0020091D"/>
    <w:rsid w:val="002211E0"/>
    <w:rsid w:val="00221C92"/>
    <w:rsid w:val="00224629"/>
    <w:rsid w:val="0022521C"/>
    <w:rsid w:val="00230991"/>
    <w:rsid w:val="00230FD8"/>
    <w:rsid w:val="002340C1"/>
    <w:rsid w:val="0024164C"/>
    <w:rsid w:val="00271E70"/>
    <w:rsid w:val="00281BD2"/>
    <w:rsid w:val="00287D64"/>
    <w:rsid w:val="002A4A09"/>
    <w:rsid w:val="002C4F32"/>
    <w:rsid w:val="002D577F"/>
    <w:rsid w:val="002D75A2"/>
    <w:rsid w:val="002E19BC"/>
    <w:rsid w:val="002E4BD1"/>
    <w:rsid w:val="002F455B"/>
    <w:rsid w:val="002F468E"/>
    <w:rsid w:val="00303B43"/>
    <w:rsid w:val="00311407"/>
    <w:rsid w:val="00314F1C"/>
    <w:rsid w:val="00323464"/>
    <w:rsid w:val="00327FB8"/>
    <w:rsid w:val="00330834"/>
    <w:rsid w:val="00332F86"/>
    <w:rsid w:val="00335618"/>
    <w:rsid w:val="00367A35"/>
    <w:rsid w:val="003762DB"/>
    <w:rsid w:val="00391742"/>
    <w:rsid w:val="003967B3"/>
    <w:rsid w:val="003A3900"/>
    <w:rsid w:val="003C0597"/>
    <w:rsid w:val="003C1FC9"/>
    <w:rsid w:val="003C64DE"/>
    <w:rsid w:val="003D3298"/>
    <w:rsid w:val="003D7CDA"/>
    <w:rsid w:val="003E1101"/>
    <w:rsid w:val="003E2253"/>
    <w:rsid w:val="003E24FD"/>
    <w:rsid w:val="003E6A23"/>
    <w:rsid w:val="003F192B"/>
    <w:rsid w:val="003F587C"/>
    <w:rsid w:val="00412DDF"/>
    <w:rsid w:val="0042735A"/>
    <w:rsid w:val="0042790D"/>
    <w:rsid w:val="00430B99"/>
    <w:rsid w:val="004410B7"/>
    <w:rsid w:val="0045695E"/>
    <w:rsid w:val="004644B2"/>
    <w:rsid w:val="00471DC8"/>
    <w:rsid w:val="0048300D"/>
    <w:rsid w:val="00484F57"/>
    <w:rsid w:val="004900BD"/>
    <w:rsid w:val="004909AE"/>
    <w:rsid w:val="00494AC0"/>
    <w:rsid w:val="00496AAB"/>
    <w:rsid w:val="004A3F07"/>
    <w:rsid w:val="004B00FA"/>
    <w:rsid w:val="004B1E67"/>
    <w:rsid w:val="004B681E"/>
    <w:rsid w:val="004C2EBE"/>
    <w:rsid w:val="004D371D"/>
    <w:rsid w:val="0050246A"/>
    <w:rsid w:val="00502584"/>
    <w:rsid w:val="00504E3D"/>
    <w:rsid w:val="00511F34"/>
    <w:rsid w:val="00514787"/>
    <w:rsid w:val="00531E5B"/>
    <w:rsid w:val="00534B35"/>
    <w:rsid w:val="00547A42"/>
    <w:rsid w:val="00555286"/>
    <w:rsid w:val="00555C02"/>
    <w:rsid w:val="005643DD"/>
    <w:rsid w:val="0057096D"/>
    <w:rsid w:val="005743D8"/>
    <w:rsid w:val="00581F1A"/>
    <w:rsid w:val="00584144"/>
    <w:rsid w:val="00584685"/>
    <w:rsid w:val="00584B21"/>
    <w:rsid w:val="00590AEF"/>
    <w:rsid w:val="0059151C"/>
    <w:rsid w:val="005A5FD3"/>
    <w:rsid w:val="005B0352"/>
    <w:rsid w:val="005B20B1"/>
    <w:rsid w:val="005B6F95"/>
    <w:rsid w:val="005C42C4"/>
    <w:rsid w:val="005C5A7B"/>
    <w:rsid w:val="005C77B6"/>
    <w:rsid w:val="005C78BF"/>
    <w:rsid w:val="005D2965"/>
    <w:rsid w:val="005F6A11"/>
    <w:rsid w:val="00613B59"/>
    <w:rsid w:val="00616021"/>
    <w:rsid w:val="00624A8D"/>
    <w:rsid w:val="00637FD7"/>
    <w:rsid w:val="00640931"/>
    <w:rsid w:val="00643F62"/>
    <w:rsid w:val="0065161B"/>
    <w:rsid w:val="00651A13"/>
    <w:rsid w:val="00652512"/>
    <w:rsid w:val="00665D26"/>
    <w:rsid w:val="006666F2"/>
    <w:rsid w:val="006815CF"/>
    <w:rsid w:val="0069454D"/>
    <w:rsid w:val="00695255"/>
    <w:rsid w:val="006963FC"/>
    <w:rsid w:val="006A5F49"/>
    <w:rsid w:val="006A7D26"/>
    <w:rsid w:val="006B2031"/>
    <w:rsid w:val="006B5400"/>
    <w:rsid w:val="006D1E3B"/>
    <w:rsid w:val="006E4622"/>
    <w:rsid w:val="006F25FF"/>
    <w:rsid w:val="00700CE6"/>
    <w:rsid w:val="00713EDE"/>
    <w:rsid w:val="0072476F"/>
    <w:rsid w:val="00733EFD"/>
    <w:rsid w:val="00742D73"/>
    <w:rsid w:val="007512D2"/>
    <w:rsid w:val="00755290"/>
    <w:rsid w:val="007564C0"/>
    <w:rsid w:val="007656AE"/>
    <w:rsid w:val="007867C9"/>
    <w:rsid w:val="007871C5"/>
    <w:rsid w:val="007878B4"/>
    <w:rsid w:val="0079288B"/>
    <w:rsid w:val="00796817"/>
    <w:rsid w:val="007A4C51"/>
    <w:rsid w:val="007A4DF1"/>
    <w:rsid w:val="007B14E0"/>
    <w:rsid w:val="007B2251"/>
    <w:rsid w:val="007B4AC5"/>
    <w:rsid w:val="007B5874"/>
    <w:rsid w:val="007B615F"/>
    <w:rsid w:val="007C5AE7"/>
    <w:rsid w:val="007C6F46"/>
    <w:rsid w:val="007D16CD"/>
    <w:rsid w:val="007E48FD"/>
    <w:rsid w:val="007E67A6"/>
    <w:rsid w:val="007E7562"/>
    <w:rsid w:val="007F3AE2"/>
    <w:rsid w:val="007F623E"/>
    <w:rsid w:val="00802E01"/>
    <w:rsid w:val="00816385"/>
    <w:rsid w:val="00817B37"/>
    <w:rsid w:val="0083003B"/>
    <w:rsid w:val="00830A54"/>
    <w:rsid w:val="00834688"/>
    <w:rsid w:val="00835F5B"/>
    <w:rsid w:val="00852174"/>
    <w:rsid w:val="00854D2A"/>
    <w:rsid w:val="00864F08"/>
    <w:rsid w:val="008651A1"/>
    <w:rsid w:val="0086777C"/>
    <w:rsid w:val="00885A25"/>
    <w:rsid w:val="00885FDC"/>
    <w:rsid w:val="008904C2"/>
    <w:rsid w:val="008B3344"/>
    <w:rsid w:val="008B490D"/>
    <w:rsid w:val="008B5099"/>
    <w:rsid w:val="008C0328"/>
    <w:rsid w:val="008C1D58"/>
    <w:rsid w:val="008C3318"/>
    <w:rsid w:val="008C7DCB"/>
    <w:rsid w:val="008E738B"/>
    <w:rsid w:val="008F143B"/>
    <w:rsid w:val="009039A5"/>
    <w:rsid w:val="00910B05"/>
    <w:rsid w:val="00910EAF"/>
    <w:rsid w:val="00913B5F"/>
    <w:rsid w:val="00917CA1"/>
    <w:rsid w:val="00920786"/>
    <w:rsid w:val="00920FB8"/>
    <w:rsid w:val="00923E30"/>
    <w:rsid w:val="0092509E"/>
    <w:rsid w:val="00925153"/>
    <w:rsid w:val="00936997"/>
    <w:rsid w:val="009378A2"/>
    <w:rsid w:val="009419F1"/>
    <w:rsid w:val="009432D0"/>
    <w:rsid w:val="009462F4"/>
    <w:rsid w:val="0095173F"/>
    <w:rsid w:val="00966353"/>
    <w:rsid w:val="00970F56"/>
    <w:rsid w:val="00985467"/>
    <w:rsid w:val="0098687E"/>
    <w:rsid w:val="009A1BE4"/>
    <w:rsid w:val="009B124F"/>
    <w:rsid w:val="009B2696"/>
    <w:rsid w:val="009B32B3"/>
    <w:rsid w:val="009B3E0D"/>
    <w:rsid w:val="009C0677"/>
    <w:rsid w:val="009C7D5C"/>
    <w:rsid w:val="009D46BC"/>
    <w:rsid w:val="009D77AB"/>
    <w:rsid w:val="009D787B"/>
    <w:rsid w:val="009D7BDF"/>
    <w:rsid w:val="009F3DFE"/>
    <w:rsid w:val="009F442E"/>
    <w:rsid w:val="00A00BEF"/>
    <w:rsid w:val="00A053ED"/>
    <w:rsid w:val="00A05C72"/>
    <w:rsid w:val="00A128D9"/>
    <w:rsid w:val="00A272B2"/>
    <w:rsid w:val="00A30D89"/>
    <w:rsid w:val="00A31705"/>
    <w:rsid w:val="00A35A79"/>
    <w:rsid w:val="00A41ED0"/>
    <w:rsid w:val="00A44B02"/>
    <w:rsid w:val="00A46CC2"/>
    <w:rsid w:val="00A5355F"/>
    <w:rsid w:val="00A54C01"/>
    <w:rsid w:val="00A554C0"/>
    <w:rsid w:val="00A60F27"/>
    <w:rsid w:val="00A62865"/>
    <w:rsid w:val="00A72D3A"/>
    <w:rsid w:val="00A84EEE"/>
    <w:rsid w:val="00A87D1F"/>
    <w:rsid w:val="00A92E92"/>
    <w:rsid w:val="00A93922"/>
    <w:rsid w:val="00A97116"/>
    <w:rsid w:val="00AA7F2E"/>
    <w:rsid w:val="00AB283F"/>
    <w:rsid w:val="00AB4BBA"/>
    <w:rsid w:val="00AC615A"/>
    <w:rsid w:val="00AD0704"/>
    <w:rsid w:val="00AD388F"/>
    <w:rsid w:val="00AF31B6"/>
    <w:rsid w:val="00AF3E45"/>
    <w:rsid w:val="00AF7E39"/>
    <w:rsid w:val="00B0033E"/>
    <w:rsid w:val="00B01296"/>
    <w:rsid w:val="00B0192B"/>
    <w:rsid w:val="00B06EAE"/>
    <w:rsid w:val="00B070AA"/>
    <w:rsid w:val="00B1602E"/>
    <w:rsid w:val="00B23028"/>
    <w:rsid w:val="00B26311"/>
    <w:rsid w:val="00B351B2"/>
    <w:rsid w:val="00B41259"/>
    <w:rsid w:val="00B426F5"/>
    <w:rsid w:val="00B4287E"/>
    <w:rsid w:val="00B53B79"/>
    <w:rsid w:val="00B638E4"/>
    <w:rsid w:val="00B760FE"/>
    <w:rsid w:val="00B85B25"/>
    <w:rsid w:val="00B87B80"/>
    <w:rsid w:val="00BA0EFC"/>
    <w:rsid w:val="00BC7090"/>
    <w:rsid w:val="00BC7E5B"/>
    <w:rsid w:val="00BD7B2E"/>
    <w:rsid w:val="00BF3C16"/>
    <w:rsid w:val="00C035C9"/>
    <w:rsid w:val="00C0724E"/>
    <w:rsid w:val="00C10C03"/>
    <w:rsid w:val="00C110EE"/>
    <w:rsid w:val="00C252A6"/>
    <w:rsid w:val="00C25815"/>
    <w:rsid w:val="00C33F8F"/>
    <w:rsid w:val="00C370E6"/>
    <w:rsid w:val="00C37504"/>
    <w:rsid w:val="00C5630F"/>
    <w:rsid w:val="00C61670"/>
    <w:rsid w:val="00C75B7C"/>
    <w:rsid w:val="00C7711B"/>
    <w:rsid w:val="00C85A13"/>
    <w:rsid w:val="00CB317A"/>
    <w:rsid w:val="00CC0726"/>
    <w:rsid w:val="00CC07F3"/>
    <w:rsid w:val="00CC13D0"/>
    <w:rsid w:val="00CC2C60"/>
    <w:rsid w:val="00CE16DB"/>
    <w:rsid w:val="00CE1789"/>
    <w:rsid w:val="00CE6EE1"/>
    <w:rsid w:val="00CF3D00"/>
    <w:rsid w:val="00D00E51"/>
    <w:rsid w:val="00D067DF"/>
    <w:rsid w:val="00D311F9"/>
    <w:rsid w:val="00D31FF4"/>
    <w:rsid w:val="00D41304"/>
    <w:rsid w:val="00D47E16"/>
    <w:rsid w:val="00D5165A"/>
    <w:rsid w:val="00D51895"/>
    <w:rsid w:val="00D53DD2"/>
    <w:rsid w:val="00D56FE7"/>
    <w:rsid w:val="00D66E44"/>
    <w:rsid w:val="00D67A45"/>
    <w:rsid w:val="00D83E4B"/>
    <w:rsid w:val="00D8492C"/>
    <w:rsid w:val="00D8579A"/>
    <w:rsid w:val="00D9149C"/>
    <w:rsid w:val="00D9373F"/>
    <w:rsid w:val="00DA1614"/>
    <w:rsid w:val="00DA41C9"/>
    <w:rsid w:val="00DB2A34"/>
    <w:rsid w:val="00DB2FC9"/>
    <w:rsid w:val="00DB6273"/>
    <w:rsid w:val="00DB741F"/>
    <w:rsid w:val="00DC0340"/>
    <w:rsid w:val="00DD0DD5"/>
    <w:rsid w:val="00DE482F"/>
    <w:rsid w:val="00DF12BB"/>
    <w:rsid w:val="00DF206E"/>
    <w:rsid w:val="00DF2109"/>
    <w:rsid w:val="00DF2D35"/>
    <w:rsid w:val="00DF34B5"/>
    <w:rsid w:val="00E0443A"/>
    <w:rsid w:val="00E04C3A"/>
    <w:rsid w:val="00E053B9"/>
    <w:rsid w:val="00E05D59"/>
    <w:rsid w:val="00E06121"/>
    <w:rsid w:val="00E07869"/>
    <w:rsid w:val="00E134EE"/>
    <w:rsid w:val="00E14EC0"/>
    <w:rsid w:val="00E204DF"/>
    <w:rsid w:val="00E32485"/>
    <w:rsid w:val="00E339E6"/>
    <w:rsid w:val="00E365D5"/>
    <w:rsid w:val="00E37D36"/>
    <w:rsid w:val="00E37E94"/>
    <w:rsid w:val="00E502E6"/>
    <w:rsid w:val="00E63803"/>
    <w:rsid w:val="00E67C2B"/>
    <w:rsid w:val="00E74598"/>
    <w:rsid w:val="00E749DC"/>
    <w:rsid w:val="00E77CCD"/>
    <w:rsid w:val="00E85150"/>
    <w:rsid w:val="00E85F14"/>
    <w:rsid w:val="00E90541"/>
    <w:rsid w:val="00E92F12"/>
    <w:rsid w:val="00E97CC0"/>
    <w:rsid w:val="00EA01A3"/>
    <w:rsid w:val="00EA5238"/>
    <w:rsid w:val="00EA7204"/>
    <w:rsid w:val="00EC0A89"/>
    <w:rsid w:val="00EC3A5C"/>
    <w:rsid w:val="00ED10D9"/>
    <w:rsid w:val="00ED1B06"/>
    <w:rsid w:val="00ED3321"/>
    <w:rsid w:val="00ED6F2E"/>
    <w:rsid w:val="00EE16C5"/>
    <w:rsid w:val="00EF0A70"/>
    <w:rsid w:val="00EF4B38"/>
    <w:rsid w:val="00EF552D"/>
    <w:rsid w:val="00EF7F45"/>
    <w:rsid w:val="00F00DBF"/>
    <w:rsid w:val="00F0758C"/>
    <w:rsid w:val="00F1315B"/>
    <w:rsid w:val="00F17BE7"/>
    <w:rsid w:val="00F216F3"/>
    <w:rsid w:val="00F228DC"/>
    <w:rsid w:val="00F367F7"/>
    <w:rsid w:val="00F47723"/>
    <w:rsid w:val="00F5383A"/>
    <w:rsid w:val="00F615AC"/>
    <w:rsid w:val="00F62EB4"/>
    <w:rsid w:val="00F64653"/>
    <w:rsid w:val="00F65846"/>
    <w:rsid w:val="00F751A2"/>
    <w:rsid w:val="00F75631"/>
    <w:rsid w:val="00F75E56"/>
    <w:rsid w:val="00F86C23"/>
    <w:rsid w:val="00FA1567"/>
    <w:rsid w:val="00FA1BCF"/>
    <w:rsid w:val="00FA3545"/>
    <w:rsid w:val="00FC687C"/>
    <w:rsid w:val="00FD0543"/>
    <w:rsid w:val="00FE60E1"/>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86CEA"/>
  <w15:docId w15:val="{D7EA1382-CAA5-42B3-A68B-61948A2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A6"/>
    <w:pPr>
      <w:spacing w:after="183" w:line="265" w:lineRule="auto"/>
      <w:ind w:left="10" w:hanging="10"/>
    </w:pPr>
    <w:rPr>
      <w:rFonts w:ascii="Tahoma" w:eastAsia="Times New Roman" w:hAnsi="Tahoma" w:cs="Times New Roman"/>
      <w:color w:val="000000"/>
      <w:sz w:val="24"/>
    </w:rPr>
  </w:style>
  <w:style w:type="paragraph" w:styleId="Heading1">
    <w:name w:val="heading 1"/>
    <w:basedOn w:val="Normal"/>
    <w:next w:val="Normal"/>
    <w:link w:val="Heading1Char"/>
    <w:uiPriority w:val="9"/>
    <w:qFormat/>
    <w:rsid w:val="00637FD7"/>
    <w:pPr>
      <w:spacing w:after="0" w:line="259" w:lineRule="auto"/>
      <w:ind w:left="14" w:hanging="14"/>
      <w:outlineLvl w:val="0"/>
    </w:pPr>
    <w:rPr>
      <w:b/>
      <w:bCs/>
    </w:rPr>
  </w:style>
  <w:style w:type="paragraph" w:styleId="Heading2">
    <w:name w:val="heading 2"/>
    <w:basedOn w:val="ListParagraph"/>
    <w:next w:val="Normal"/>
    <w:link w:val="Heading2Char"/>
    <w:uiPriority w:val="9"/>
    <w:unhideWhenUsed/>
    <w:qFormat/>
    <w:rsid w:val="00E74598"/>
    <w:pPr>
      <w:numPr>
        <w:numId w:val="30"/>
      </w:numPr>
      <w:spacing w:before="240" w:line="259" w:lineRule="auto"/>
      <w:jc w:val="both"/>
      <w:outlineLvl w:val="1"/>
    </w:pPr>
    <w:rPr>
      <w:rFonts w:cs="Tahom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4BD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74598"/>
    <w:pPr>
      <w:spacing w:after="0" w:line="276" w:lineRule="auto"/>
      <w:ind w:left="720" w:hanging="14"/>
    </w:pPr>
  </w:style>
  <w:style w:type="paragraph" w:styleId="BalloonText">
    <w:name w:val="Balloon Text"/>
    <w:basedOn w:val="Normal"/>
    <w:link w:val="BalloonTextChar"/>
    <w:uiPriority w:val="99"/>
    <w:semiHidden/>
    <w:unhideWhenUsed/>
    <w:rsid w:val="000A2C5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0A2C5A"/>
    <w:rPr>
      <w:rFonts w:ascii="Tahoma" w:eastAsia="Times New Roman" w:hAnsi="Tahoma" w:cs="Tahoma"/>
      <w:color w:val="000000"/>
      <w:sz w:val="16"/>
      <w:szCs w:val="16"/>
    </w:rPr>
  </w:style>
  <w:style w:type="paragraph" w:styleId="BodyText2">
    <w:name w:val="Body Text 2"/>
    <w:basedOn w:val="Normal"/>
    <w:link w:val="BodyText2Char"/>
    <w:semiHidden/>
    <w:rsid w:val="00A30D89"/>
    <w:pPr>
      <w:spacing w:after="0" w:line="240" w:lineRule="auto"/>
      <w:ind w:left="0" w:firstLine="0"/>
    </w:pPr>
    <w:rPr>
      <w:color w:val="auto"/>
      <w:sz w:val="16"/>
      <w:szCs w:val="24"/>
    </w:rPr>
  </w:style>
  <w:style w:type="character" w:customStyle="1" w:styleId="BodyText2Char">
    <w:name w:val="Body Text 2 Char"/>
    <w:basedOn w:val="DefaultParagraphFont"/>
    <w:link w:val="BodyText2"/>
    <w:semiHidden/>
    <w:rsid w:val="00A30D89"/>
    <w:rPr>
      <w:rFonts w:ascii="Times New Roman" w:eastAsia="Times New Roman" w:hAnsi="Times New Roman" w:cs="Times New Roman"/>
      <w:sz w:val="16"/>
      <w:szCs w:val="24"/>
    </w:rPr>
  </w:style>
  <w:style w:type="paragraph" w:styleId="BodyTextIndent">
    <w:name w:val="Body Text Indent"/>
    <w:basedOn w:val="Normal"/>
    <w:link w:val="BodyTextIndentChar"/>
    <w:semiHidden/>
    <w:rsid w:val="00A30D89"/>
    <w:pPr>
      <w:spacing w:after="0" w:line="240" w:lineRule="auto"/>
      <w:ind w:left="1440" w:firstLine="720"/>
      <w:jc w:val="center"/>
    </w:pPr>
    <w:rPr>
      <w:rFonts w:ascii="Bookman Old Style" w:hAnsi="Bookman Old Style"/>
      <w:b/>
      <w:bCs/>
      <w:color w:val="auto"/>
      <w:sz w:val="56"/>
      <w:szCs w:val="24"/>
    </w:rPr>
  </w:style>
  <w:style w:type="character" w:customStyle="1" w:styleId="BodyTextIndentChar">
    <w:name w:val="Body Text Indent Char"/>
    <w:basedOn w:val="DefaultParagraphFont"/>
    <w:link w:val="BodyTextIndent"/>
    <w:semiHidden/>
    <w:rsid w:val="00A30D89"/>
    <w:rPr>
      <w:rFonts w:ascii="Bookman Old Style" w:eastAsia="Times New Roman" w:hAnsi="Bookman Old Style" w:cs="Times New Roman"/>
      <w:b/>
      <w:bCs/>
      <w:sz w:val="56"/>
      <w:szCs w:val="24"/>
    </w:rPr>
  </w:style>
  <w:style w:type="character" w:styleId="Hyperlink">
    <w:name w:val="Hyperlink"/>
    <w:basedOn w:val="DefaultParagraphFont"/>
    <w:semiHidden/>
    <w:rsid w:val="00A30D89"/>
    <w:rPr>
      <w:color w:val="0000FF"/>
      <w:u w:val="single"/>
    </w:rPr>
  </w:style>
  <w:style w:type="paragraph" w:styleId="BodyTextIndent2">
    <w:name w:val="Body Text Indent 2"/>
    <w:basedOn w:val="Normal"/>
    <w:link w:val="BodyTextIndent2Char"/>
    <w:semiHidden/>
    <w:rsid w:val="00A30D89"/>
    <w:pPr>
      <w:tabs>
        <w:tab w:val="left" w:pos="180"/>
      </w:tabs>
      <w:spacing w:after="0" w:line="240" w:lineRule="auto"/>
      <w:ind w:left="360" w:firstLine="0"/>
    </w:pPr>
    <w:rPr>
      <w:color w:val="auto"/>
      <w:szCs w:val="24"/>
    </w:rPr>
  </w:style>
  <w:style w:type="character" w:customStyle="1" w:styleId="BodyTextIndent2Char">
    <w:name w:val="Body Text Indent 2 Char"/>
    <w:basedOn w:val="DefaultParagraphFont"/>
    <w:link w:val="BodyTextIndent2"/>
    <w:semiHidden/>
    <w:rsid w:val="00A30D89"/>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30D89"/>
    <w:pPr>
      <w:spacing w:after="0" w:line="240" w:lineRule="auto"/>
      <w:ind w:left="360" w:firstLine="0"/>
      <w:jc w:val="both"/>
    </w:pPr>
    <w:rPr>
      <w:color w:val="auto"/>
      <w:sz w:val="22"/>
      <w:szCs w:val="24"/>
    </w:rPr>
  </w:style>
  <w:style w:type="character" w:customStyle="1" w:styleId="BodyTextIndent3Char">
    <w:name w:val="Body Text Indent 3 Char"/>
    <w:basedOn w:val="DefaultParagraphFont"/>
    <w:link w:val="BodyTextIndent3"/>
    <w:semiHidden/>
    <w:rsid w:val="00A30D89"/>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61670"/>
    <w:rPr>
      <w:color w:val="605E5C"/>
      <w:shd w:val="clear" w:color="auto" w:fill="E1DFDD"/>
    </w:rPr>
  </w:style>
  <w:style w:type="paragraph" w:styleId="Header">
    <w:name w:val="header"/>
    <w:basedOn w:val="Normal"/>
    <w:link w:val="HeaderChar"/>
    <w:uiPriority w:val="99"/>
    <w:unhideWhenUsed/>
    <w:rsid w:val="00471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DC8"/>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471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DC8"/>
    <w:rPr>
      <w:rFonts w:ascii="Times New Roman" w:eastAsia="Times New Roman" w:hAnsi="Times New Roman" w:cs="Times New Roman"/>
      <w:color w:val="000000"/>
      <w:sz w:val="18"/>
    </w:rPr>
  </w:style>
  <w:style w:type="character" w:customStyle="1" w:styleId="Heading1Char">
    <w:name w:val="Heading 1 Char"/>
    <w:basedOn w:val="DefaultParagraphFont"/>
    <w:link w:val="Heading1"/>
    <w:uiPriority w:val="9"/>
    <w:rsid w:val="00637FD7"/>
    <w:rPr>
      <w:rFonts w:ascii="Tahoma" w:eastAsia="Times New Roman" w:hAnsi="Tahoma" w:cs="Times New Roman"/>
      <w:b/>
      <w:bCs/>
      <w:color w:val="000000"/>
      <w:sz w:val="24"/>
    </w:rPr>
  </w:style>
  <w:style w:type="paragraph" w:styleId="Title">
    <w:name w:val="Title"/>
    <w:basedOn w:val="Normal"/>
    <w:next w:val="Normal"/>
    <w:link w:val="TitleChar"/>
    <w:uiPriority w:val="10"/>
    <w:qFormat/>
    <w:rsid w:val="00A44B02"/>
    <w:pPr>
      <w:spacing w:after="240" w:line="240" w:lineRule="auto"/>
      <w:ind w:left="14" w:hanging="14"/>
      <w:contextualSpacing/>
      <w:jc w:val="center"/>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A44B02"/>
    <w:rPr>
      <w:rFonts w:ascii="Tahoma" w:eastAsiaTheme="majorEastAsia" w:hAnsi="Tahoma" w:cstheme="majorBidi"/>
      <w:spacing w:val="-10"/>
      <w:kern w:val="28"/>
      <w:sz w:val="48"/>
      <w:szCs w:val="56"/>
    </w:rPr>
  </w:style>
  <w:style w:type="character" w:customStyle="1" w:styleId="Heading2Char">
    <w:name w:val="Heading 2 Char"/>
    <w:basedOn w:val="DefaultParagraphFont"/>
    <w:link w:val="Heading2"/>
    <w:uiPriority w:val="9"/>
    <w:rsid w:val="00E74598"/>
    <w:rPr>
      <w:rFonts w:ascii="Tahoma" w:eastAsia="Times New Roman" w:hAnsi="Tahoma" w:cs="Tahoma"/>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hnson\OneDrive%20-%20Housing%20Authority%20of%20Douglas%20County\HADCO%20Blank%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BCC537EA1ED4CA4AE1EA0F083A3D5" ma:contentTypeVersion="3" ma:contentTypeDescription="Create a new document." ma:contentTypeScope="" ma:versionID="cf07679c5703adccf39d5dadb03dca0c">
  <xsd:schema xmlns:xsd="http://www.w3.org/2001/XMLSchema" xmlns:xs="http://www.w3.org/2001/XMLSchema" xmlns:p="http://schemas.microsoft.com/office/2006/metadata/properties" xmlns:ns2="20173594-7cbb-4e66-8520-8947c72cbe83" targetNamespace="http://schemas.microsoft.com/office/2006/metadata/properties" ma:root="true" ma:fieldsID="c75b75f90078f3f6069c9dd4dcdbc204" ns2:_="">
    <xsd:import namespace="20173594-7cbb-4e66-8520-8947c72cb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73594-7cbb-4e66-8520-8947c72cb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30AFE-06C9-4466-804A-5D7C0AB6A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73594-7cbb-4e66-8520-8947c72cb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C1AD6-3E4E-4E78-AEB9-958CE2B51195}">
  <ds:schemaRefs>
    <ds:schemaRef ds:uri="http://schemas.microsoft.com/sharepoint/v3/contenttype/forms"/>
  </ds:schemaRefs>
</ds:datastoreItem>
</file>

<file path=customXml/itemProps3.xml><?xml version="1.0" encoding="utf-8"?>
<ds:datastoreItem xmlns:ds="http://schemas.openxmlformats.org/officeDocument/2006/customXml" ds:itemID="{22501B19-BA12-4D74-9D54-20487A427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HADCO Blank Form TEMPLATE.dotx</Template>
  <TotalTime>12</TotalTime>
  <Pages>6</Pages>
  <Words>1436</Words>
  <Characters>8303</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Johnson</dc:creator>
  <cp:lastModifiedBy>Janeal Kohler</cp:lastModifiedBy>
  <cp:revision>3</cp:revision>
  <cp:lastPrinted>2019-10-09T18:51:00Z</cp:lastPrinted>
  <dcterms:created xsi:type="dcterms:W3CDTF">2025-10-02T17:09:00Z</dcterms:created>
  <dcterms:modified xsi:type="dcterms:W3CDTF">2025-10-02T17:14:00Z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0x0101001BFBCC537EA1ED4CA4AE1EA0F083A3D5</vt:lpwstr>
  </property>
</Properties>
</file>