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92" w:rsidRPr="00FB2392" w:rsidRDefault="00305180" w:rsidP="00FB2392">
      <w:pPr>
        <w:autoSpaceDE w:val="0"/>
        <w:autoSpaceDN w:val="0"/>
        <w:adjustRightInd w:val="0"/>
        <w:jc w:val="center"/>
        <w:rPr>
          <w:b/>
          <w:color w:val="000000"/>
          <w:sz w:val="20"/>
          <w:szCs w:val="20"/>
          <w:u w:val="single"/>
        </w:rPr>
      </w:pPr>
      <w:r>
        <w:rPr>
          <w:b/>
          <w:color w:val="000000"/>
          <w:sz w:val="20"/>
          <w:szCs w:val="20"/>
          <w:u w:val="single"/>
        </w:rPr>
        <w:t>HADCO Admissions and Continued Occupancy Policy (ACOP)</w:t>
      </w:r>
    </w:p>
    <w:p w:rsidR="00305180" w:rsidRDefault="00305180">
      <w:pPr>
        <w:pStyle w:val="Heading1"/>
        <w:rPr>
          <w:b w:val="0"/>
          <w:sz w:val="20"/>
          <w:szCs w:val="20"/>
        </w:rPr>
      </w:pPr>
      <w:r>
        <w:rPr>
          <w:sz w:val="20"/>
          <w:szCs w:val="20"/>
        </w:rPr>
        <w:t>TABLE OF CONTENTS ADMISSIONS &amp; OCCUPANCY POLICY</w:t>
      </w:r>
    </w:p>
    <w:tbl>
      <w:tblPr>
        <w:tblW w:w="0" w:type="auto"/>
        <w:jc w:val="center"/>
        <w:tblLayout w:type="fixed"/>
        <w:tblLook w:val="0000"/>
      </w:tblPr>
      <w:tblGrid>
        <w:gridCol w:w="8093"/>
        <w:gridCol w:w="532"/>
      </w:tblGrid>
      <w:tr w:rsidR="00305180">
        <w:trPr>
          <w:jc w:val="center"/>
        </w:trPr>
        <w:tc>
          <w:tcPr>
            <w:tcW w:w="8093" w:type="dxa"/>
          </w:tcPr>
          <w:p w:rsidR="00305180" w:rsidRDefault="00305180">
            <w:pPr>
              <w:autoSpaceDE w:val="0"/>
              <w:autoSpaceDN w:val="0"/>
              <w:adjustRightInd w:val="0"/>
              <w:jc w:val="both"/>
              <w:rPr>
                <w:b/>
                <w:color w:val="000000"/>
                <w:sz w:val="22"/>
                <w:szCs w:val="22"/>
              </w:rPr>
            </w:pPr>
            <w:r>
              <w:rPr>
                <w:b/>
                <w:color w:val="000000"/>
                <w:sz w:val="22"/>
                <w:szCs w:val="22"/>
              </w:rPr>
              <w:t>I.   Nondiscrimination and Accessibility</w:t>
            </w:r>
          </w:p>
        </w:tc>
        <w:tc>
          <w:tcPr>
            <w:tcW w:w="532" w:type="dxa"/>
          </w:tcPr>
          <w:p w:rsidR="00305180" w:rsidRDefault="00067D59">
            <w:pPr>
              <w:autoSpaceDE w:val="0"/>
              <w:autoSpaceDN w:val="0"/>
              <w:adjustRightInd w:val="0"/>
              <w:jc w:val="both"/>
              <w:rPr>
                <w:b/>
                <w:color w:val="000000"/>
              </w:rPr>
            </w:pPr>
            <w:r>
              <w:rPr>
                <w:b/>
                <w:color w:val="000000"/>
              </w:rPr>
              <w:t>1</w:t>
            </w:r>
          </w:p>
        </w:tc>
      </w:tr>
      <w:tr w:rsidR="00305180">
        <w:trPr>
          <w:jc w:val="center"/>
        </w:trPr>
        <w:tc>
          <w:tcPr>
            <w:tcW w:w="8093" w:type="dxa"/>
          </w:tcPr>
          <w:p w:rsidR="00305180" w:rsidRDefault="00305180">
            <w:pPr>
              <w:autoSpaceDE w:val="0"/>
              <w:autoSpaceDN w:val="0"/>
              <w:adjustRightInd w:val="0"/>
              <w:rPr>
                <w:color w:val="000000"/>
              </w:rPr>
            </w:pPr>
            <w:r>
              <w:rPr>
                <w:color w:val="000000"/>
              </w:rPr>
              <w:t>Nondiscrimination</w:t>
            </w:r>
          </w:p>
        </w:tc>
        <w:tc>
          <w:tcPr>
            <w:tcW w:w="532" w:type="dxa"/>
          </w:tcPr>
          <w:p w:rsidR="00305180" w:rsidRDefault="00067D59">
            <w:pPr>
              <w:autoSpaceDE w:val="0"/>
              <w:autoSpaceDN w:val="0"/>
              <w:adjustRightInd w:val="0"/>
              <w:jc w:val="both"/>
              <w:rPr>
                <w:color w:val="000000"/>
              </w:rPr>
            </w:pPr>
            <w:r>
              <w:rPr>
                <w:color w:val="000000"/>
              </w:rPr>
              <w:t>2</w:t>
            </w:r>
          </w:p>
        </w:tc>
      </w:tr>
      <w:tr w:rsidR="00305180">
        <w:trPr>
          <w:jc w:val="center"/>
        </w:trPr>
        <w:tc>
          <w:tcPr>
            <w:tcW w:w="8093" w:type="dxa"/>
          </w:tcPr>
          <w:p w:rsidR="00305180" w:rsidRDefault="00305180">
            <w:pPr>
              <w:autoSpaceDE w:val="0"/>
              <w:autoSpaceDN w:val="0"/>
              <w:adjustRightInd w:val="0"/>
              <w:rPr>
                <w:color w:val="000000"/>
              </w:rPr>
            </w:pPr>
            <w:r>
              <w:rPr>
                <w:color w:val="000000"/>
              </w:rPr>
              <w:t>Accessibility and Plain Language</w:t>
            </w:r>
          </w:p>
        </w:tc>
        <w:tc>
          <w:tcPr>
            <w:tcW w:w="532" w:type="dxa"/>
          </w:tcPr>
          <w:p w:rsidR="00305180" w:rsidRDefault="00067D59">
            <w:pPr>
              <w:autoSpaceDE w:val="0"/>
              <w:autoSpaceDN w:val="0"/>
              <w:adjustRightInd w:val="0"/>
              <w:jc w:val="both"/>
              <w:rPr>
                <w:color w:val="000000"/>
              </w:rPr>
            </w:pPr>
            <w:r>
              <w:rPr>
                <w:color w:val="000000"/>
              </w:rPr>
              <w:t>3</w:t>
            </w:r>
          </w:p>
        </w:tc>
      </w:tr>
      <w:tr w:rsidR="00305180">
        <w:trPr>
          <w:jc w:val="center"/>
        </w:trPr>
        <w:tc>
          <w:tcPr>
            <w:tcW w:w="8093" w:type="dxa"/>
          </w:tcPr>
          <w:p w:rsidR="00305180" w:rsidRDefault="00305180">
            <w:pPr>
              <w:autoSpaceDE w:val="0"/>
              <w:autoSpaceDN w:val="0"/>
              <w:adjustRightInd w:val="0"/>
              <w:rPr>
                <w:color w:val="000000"/>
              </w:rPr>
            </w:pPr>
            <w:r>
              <w:rPr>
                <w:color w:val="000000"/>
              </w:rPr>
              <w:t>Service for Limited English speaking person(s) (LEP)</w:t>
            </w:r>
          </w:p>
        </w:tc>
        <w:tc>
          <w:tcPr>
            <w:tcW w:w="532" w:type="dxa"/>
          </w:tcPr>
          <w:p w:rsidR="00305180" w:rsidRDefault="00067D59">
            <w:pPr>
              <w:autoSpaceDE w:val="0"/>
              <w:autoSpaceDN w:val="0"/>
              <w:adjustRightInd w:val="0"/>
              <w:jc w:val="both"/>
              <w:rPr>
                <w:color w:val="000000"/>
              </w:rPr>
            </w:pPr>
            <w:r>
              <w:rPr>
                <w:color w:val="000000"/>
              </w:rPr>
              <w:t>3</w:t>
            </w:r>
          </w:p>
        </w:tc>
      </w:tr>
      <w:tr w:rsidR="00305180">
        <w:trPr>
          <w:jc w:val="center"/>
        </w:trPr>
        <w:tc>
          <w:tcPr>
            <w:tcW w:w="8093" w:type="dxa"/>
          </w:tcPr>
          <w:p w:rsidR="00305180" w:rsidRDefault="00305180">
            <w:pPr>
              <w:autoSpaceDE w:val="0"/>
              <w:autoSpaceDN w:val="0"/>
              <w:adjustRightInd w:val="0"/>
              <w:rPr>
                <w:color w:val="000000"/>
              </w:rPr>
            </w:pPr>
            <w:r>
              <w:rPr>
                <w:color w:val="000000"/>
              </w:rPr>
              <w:t>Family Outreach</w:t>
            </w:r>
          </w:p>
        </w:tc>
        <w:tc>
          <w:tcPr>
            <w:tcW w:w="532" w:type="dxa"/>
          </w:tcPr>
          <w:p w:rsidR="00305180" w:rsidRDefault="00067D59">
            <w:pPr>
              <w:autoSpaceDE w:val="0"/>
              <w:autoSpaceDN w:val="0"/>
              <w:adjustRightInd w:val="0"/>
              <w:jc w:val="both"/>
              <w:rPr>
                <w:color w:val="000000"/>
              </w:rPr>
            </w:pPr>
            <w:r>
              <w:rPr>
                <w:color w:val="000000"/>
              </w:rPr>
              <w:t>3</w:t>
            </w:r>
          </w:p>
        </w:tc>
      </w:tr>
      <w:tr w:rsidR="00305180">
        <w:trPr>
          <w:jc w:val="center"/>
        </w:trPr>
        <w:tc>
          <w:tcPr>
            <w:tcW w:w="8093" w:type="dxa"/>
          </w:tcPr>
          <w:p w:rsidR="00305180" w:rsidRDefault="00305180">
            <w:pPr>
              <w:autoSpaceDE w:val="0"/>
              <w:autoSpaceDN w:val="0"/>
              <w:adjustRightInd w:val="0"/>
              <w:rPr>
                <w:color w:val="000000"/>
              </w:rPr>
            </w:pPr>
            <w:r>
              <w:rPr>
                <w:color w:val="000000"/>
              </w:rPr>
              <w:t>Right to Privacy</w:t>
            </w:r>
          </w:p>
        </w:tc>
        <w:tc>
          <w:tcPr>
            <w:tcW w:w="532" w:type="dxa"/>
          </w:tcPr>
          <w:p w:rsidR="00305180" w:rsidRDefault="00067D59">
            <w:pPr>
              <w:autoSpaceDE w:val="0"/>
              <w:autoSpaceDN w:val="0"/>
              <w:adjustRightInd w:val="0"/>
              <w:jc w:val="both"/>
              <w:rPr>
                <w:color w:val="000000"/>
              </w:rPr>
            </w:pPr>
            <w:r>
              <w:rPr>
                <w:color w:val="000000"/>
              </w:rPr>
              <w:t>3</w:t>
            </w:r>
          </w:p>
        </w:tc>
      </w:tr>
      <w:tr w:rsidR="00305180">
        <w:trPr>
          <w:jc w:val="center"/>
        </w:trPr>
        <w:tc>
          <w:tcPr>
            <w:tcW w:w="8093" w:type="dxa"/>
          </w:tcPr>
          <w:p w:rsidR="00305180" w:rsidRDefault="00305180">
            <w:pPr>
              <w:autoSpaceDE w:val="0"/>
              <w:autoSpaceDN w:val="0"/>
              <w:adjustRightInd w:val="0"/>
              <w:rPr>
                <w:color w:val="000000"/>
              </w:rPr>
            </w:pPr>
            <w:r>
              <w:rPr>
                <w:color w:val="000000"/>
              </w:rPr>
              <w:t>Required Postings</w:t>
            </w:r>
          </w:p>
        </w:tc>
        <w:tc>
          <w:tcPr>
            <w:tcW w:w="532" w:type="dxa"/>
          </w:tcPr>
          <w:p w:rsidR="00305180" w:rsidRDefault="00067D59">
            <w:pPr>
              <w:autoSpaceDE w:val="0"/>
              <w:autoSpaceDN w:val="0"/>
              <w:adjustRightInd w:val="0"/>
              <w:jc w:val="both"/>
              <w:rPr>
                <w:color w:val="000000"/>
              </w:rPr>
            </w:pPr>
            <w:r>
              <w:rPr>
                <w:color w:val="000000"/>
              </w:rPr>
              <w:t>3</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Conflict of Interest</w:t>
            </w:r>
          </w:p>
        </w:tc>
        <w:tc>
          <w:tcPr>
            <w:tcW w:w="532" w:type="dxa"/>
          </w:tcPr>
          <w:p w:rsidR="00305180" w:rsidRDefault="00067D59">
            <w:pPr>
              <w:autoSpaceDE w:val="0"/>
              <w:autoSpaceDN w:val="0"/>
              <w:adjustRightInd w:val="0"/>
              <w:jc w:val="both"/>
              <w:rPr>
                <w:color w:val="000000"/>
              </w:rPr>
            </w:pPr>
            <w:r>
              <w:rPr>
                <w:color w:val="000000"/>
              </w:rPr>
              <w:t>5</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Solicitation or Acceptance of Gifts</w:t>
            </w:r>
          </w:p>
        </w:tc>
        <w:tc>
          <w:tcPr>
            <w:tcW w:w="532" w:type="dxa"/>
          </w:tcPr>
          <w:p w:rsidR="00305180" w:rsidRDefault="00067D59">
            <w:pPr>
              <w:autoSpaceDE w:val="0"/>
              <w:autoSpaceDN w:val="0"/>
              <w:adjustRightInd w:val="0"/>
              <w:jc w:val="both"/>
              <w:rPr>
                <w:color w:val="000000"/>
              </w:rPr>
            </w:pPr>
            <w:r>
              <w:rPr>
                <w:color w:val="000000"/>
              </w:rPr>
              <w:t>5</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Violation of Conflict of Interest</w:t>
            </w:r>
          </w:p>
        </w:tc>
        <w:tc>
          <w:tcPr>
            <w:tcW w:w="532" w:type="dxa"/>
          </w:tcPr>
          <w:p w:rsidR="00305180" w:rsidRDefault="00067D59">
            <w:pPr>
              <w:autoSpaceDE w:val="0"/>
              <w:autoSpaceDN w:val="0"/>
              <w:adjustRightInd w:val="0"/>
              <w:jc w:val="both"/>
              <w:rPr>
                <w:color w:val="000000"/>
              </w:rPr>
            </w:pPr>
            <w:r>
              <w:rPr>
                <w:color w:val="000000"/>
              </w:rPr>
              <w:t>5</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Violence Against Women Act of 2005 (VAWA)</w:t>
            </w:r>
          </w:p>
        </w:tc>
        <w:tc>
          <w:tcPr>
            <w:tcW w:w="532" w:type="dxa"/>
          </w:tcPr>
          <w:p w:rsidR="00305180" w:rsidRDefault="00067D59">
            <w:pPr>
              <w:autoSpaceDE w:val="0"/>
              <w:autoSpaceDN w:val="0"/>
              <w:adjustRightInd w:val="0"/>
              <w:jc w:val="both"/>
              <w:rPr>
                <w:b/>
                <w:color w:val="000000"/>
              </w:rPr>
            </w:pPr>
            <w:r>
              <w:rPr>
                <w:b/>
                <w:color w:val="000000"/>
              </w:rPr>
              <w:t>5</w:t>
            </w:r>
          </w:p>
        </w:tc>
      </w:tr>
      <w:tr w:rsidR="00305180">
        <w:trPr>
          <w:jc w:val="center"/>
        </w:trPr>
        <w:tc>
          <w:tcPr>
            <w:tcW w:w="8093" w:type="dxa"/>
          </w:tcPr>
          <w:p w:rsidR="00305180" w:rsidRDefault="00305180">
            <w:pPr>
              <w:autoSpaceDE w:val="0"/>
              <w:autoSpaceDN w:val="0"/>
              <w:adjustRightInd w:val="0"/>
              <w:jc w:val="both"/>
              <w:rPr>
                <w:color w:val="00000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b/>
                <w:color w:val="000000"/>
                <w:sz w:val="22"/>
                <w:szCs w:val="22"/>
              </w:rPr>
            </w:pPr>
            <w:r>
              <w:rPr>
                <w:b/>
                <w:color w:val="000000"/>
                <w:sz w:val="22"/>
                <w:szCs w:val="22"/>
              </w:rPr>
              <w:t>II. Eligibility for Admissions and Processing of Applicants</w:t>
            </w:r>
          </w:p>
        </w:tc>
        <w:tc>
          <w:tcPr>
            <w:tcW w:w="532" w:type="dxa"/>
          </w:tcPr>
          <w:p w:rsidR="00305180" w:rsidRDefault="00067D59">
            <w:pPr>
              <w:autoSpaceDE w:val="0"/>
              <w:autoSpaceDN w:val="0"/>
              <w:adjustRightInd w:val="0"/>
              <w:jc w:val="both"/>
              <w:rPr>
                <w:b/>
                <w:color w:val="000000"/>
              </w:rPr>
            </w:pPr>
            <w:r>
              <w:rPr>
                <w:b/>
                <w:color w:val="000000"/>
              </w:rPr>
              <w:t>6</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Affirmative Marketing</w:t>
            </w:r>
          </w:p>
        </w:tc>
        <w:tc>
          <w:tcPr>
            <w:tcW w:w="532" w:type="dxa"/>
          </w:tcPr>
          <w:p w:rsidR="00305180" w:rsidRDefault="00067D59">
            <w:pPr>
              <w:autoSpaceDE w:val="0"/>
              <w:autoSpaceDN w:val="0"/>
              <w:adjustRightInd w:val="0"/>
              <w:jc w:val="both"/>
              <w:rPr>
                <w:color w:val="000000"/>
              </w:rPr>
            </w:pPr>
            <w:r>
              <w:rPr>
                <w:color w:val="000000"/>
              </w:rPr>
              <w:t>6</w:t>
            </w:r>
          </w:p>
        </w:tc>
      </w:tr>
      <w:tr w:rsidR="00305180">
        <w:trPr>
          <w:jc w:val="center"/>
        </w:trPr>
        <w:tc>
          <w:tcPr>
            <w:tcW w:w="8093" w:type="dxa"/>
          </w:tcPr>
          <w:p w:rsidR="00305180" w:rsidRDefault="00305180">
            <w:pPr>
              <w:autoSpaceDE w:val="0"/>
              <w:autoSpaceDN w:val="0"/>
              <w:adjustRightInd w:val="0"/>
              <w:jc w:val="both"/>
              <w:rPr>
                <w:b/>
                <w:color w:val="000000"/>
              </w:rPr>
            </w:pPr>
            <w:proofErr w:type="spellStart"/>
            <w:r>
              <w:t>Deconcentration</w:t>
            </w:r>
            <w:proofErr w:type="spellEnd"/>
            <w:r>
              <w:t xml:space="preserve"> policy</w:t>
            </w:r>
          </w:p>
        </w:tc>
        <w:tc>
          <w:tcPr>
            <w:tcW w:w="532" w:type="dxa"/>
          </w:tcPr>
          <w:p w:rsidR="00305180" w:rsidRDefault="00067D59">
            <w:pPr>
              <w:autoSpaceDE w:val="0"/>
              <w:autoSpaceDN w:val="0"/>
              <w:adjustRightInd w:val="0"/>
              <w:jc w:val="both"/>
              <w:rPr>
                <w:color w:val="000000"/>
              </w:rPr>
            </w:pPr>
            <w:r>
              <w:rPr>
                <w:color w:val="000000"/>
              </w:rPr>
              <w:t>6</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Qualifying for Admissions</w:t>
            </w:r>
          </w:p>
        </w:tc>
        <w:tc>
          <w:tcPr>
            <w:tcW w:w="532" w:type="dxa"/>
          </w:tcPr>
          <w:p w:rsidR="00305180" w:rsidRDefault="00067D59">
            <w:pPr>
              <w:autoSpaceDE w:val="0"/>
              <w:autoSpaceDN w:val="0"/>
              <w:adjustRightInd w:val="0"/>
              <w:jc w:val="both"/>
              <w:rPr>
                <w:color w:val="000000"/>
              </w:rPr>
            </w:pPr>
            <w:r>
              <w:rPr>
                <w:color w:val="000000"/>
              </w:rPr>
              <w:t>7</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Establishing and Maintaining the Waiting List</w:t>
            </w:r>
          </w:p>
        </w:tc>
        <w:tc>
          <w:tcPr>
            <w:tcW w:w="532" w:type="dxa"/>
          </w:tcPr>
          <w:p w:rsidR="00305180" w:rsidRDefault="00067D59">
            <w:pPr>
              <w:autoSpaceDE w:val="0"/>
              <w:autoSpaceDN w:val="0"/>
              <w:adjustRightInd w:val="0"/>
              <w:jc w:val="both"/>
              <w:rPr>
                <w:color w:val="000000"/>
              </w:rPr>
            </w:pPr>
            <w:r>
              <w:rPr>
                <w:color w:val="000000"/>
              </w:rPr>
              <w:t>8</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Processing Applications for Admission</w:t>
            </w:r>
          </w:p>
        </w:tc>
        <w:tc>
          <w:tcPr>
            <w:tcW w:w="532" w:type="dxa"/>
          </w:tcPr>
          <w:p w:rsidR="00305180" w:rsidRDefault="00067D59">
            <w:pPr>
              <w:autoSpaceDE w:val="0"/>
              <w:autoSpaceDN w:val="0"/>
              <w:adjustRightInd w:val="0"/>
              <w:jc w:val="both"/>
              <w:rPr>
                <w:color w:val="000000"/>
              </w:rPr>
            </w:pPr>
            <w:r>
              <w:rPr>
                <w:color w:val="000000"/>
              </w:rPr>
              <w:t>9</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The Preference System</w:t>
            </w:r>
          </w:p>
        </w:tc>
        <w:tc>
          <w:tcPr>
            <w:tcW w:w="532" w:type="dxa"/>
          </w:tcPr>
          <w:p w:rsidR="00305180" w:rsidRDefault="00067D59">
            <w:pPr>
              <w:autoSpaceDE w:val="0"/>
              <w:autoSpaceDN w:val="0"/>
              <w:adjustRightInd w:val="0"/>
              <w:jc w:val="both"/>
              <w:rPr>
                <w:color w:val="000000"/>
              </w:rPr>
            </w:pPr>
            <w:r>
              <w:rPr>
                <w:color w:val="000000"/>
              </w:rPr>
              <w:t>10</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Screening Applicants for Admissions</w:t>
            </w:r>
          </w:p>
        </w:tc>
        <w:tc>
          <w:tcPr>
            <w:tcW w:w="532" w:type="dxa"/>
          </w:tcPr>
          <w:p w:rsidR="00305180" w:rsidRDefault="00305180" w:rsidP="00067D59">
            <w:pPr>
              <w:autoSpaceDE w:val="0"/>
              <w:autoSpaceDN w:val="0"/>
              <w:adjustRightInd w:val="0"/>
              <w:jc w:val="both"/>
              <w:rPr>
                <w:color w:val="000000"/>
              </w:rPr>
            </w:pPr>
            <w:r>
              <w:rPr>
                <w:color w:val="000000"/>
              </w:rPr>
              <w:t>1</w:t>
            </w:r>
            <w:r w:rsidR="00067D59">
              <w:rPr>
                <w:color w:val="000000"/>
              </w:rPr>
              <w:t>1</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Occupancy Guidelines</w:t>
            </w:r>
          </w:p>
        </w:tc>
        <w:tc>
          <w:tcPr>
            <w:tcW w:w="532" w:type="dxa"/>
          </w:tcPr>
          <w:p w:rsidR="00305180" w:rsidRDefault="00305180" w:rsidP="00067D59">
            <w:pPr>
              <w:autoSpaceDE w:val="0"/>
              <w:autoSpaceDN w:val="0"/>
              <w:adjustRightInd w:val="0"/>
              <w:jc w:val="both"/>
              <w:rPr>
                <w:color w:val="000000"/>
              </w:rPr>
            </w:pPr>
            <w:r>
              <w:rPr>
                <w:color w:val="000000"/>
              </w:rPr>
              <w:t>1</w:t>
            </w:r>
            <w:r w:rsidR="00067D59">
              <w:rPr>
                <w:color w:val="000000"/>
              </w:rPr>
              <w:t>2</w:t>
            </w:r>
          </w:p>
        </w:tc>
      </w:tr>
      <w:tr w:rsidR="00305180">
        <w:trPr>
          <w:jc w:val="center"/>
        </w:trPr>
        <w:tc>
          <w:tcPr>
            <w:tcW w:w="8093" w:type="dxa"/>
          </w:tcPr>
          <w:p w:rsidR="00305180" w:rsidRDefault="00305180">
            <w:pPr>
              <w:autoSpaceDE w:val="0"/>
              <w:autoSpaceDN w:val="0"/>
              <w:adjustRightInd w:val="0"/>
              <w:jc w:val="both"/>
              <w:rPr>
                <w:b/>
                <w:color w:val="00000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b/>
                <w:color w:val="000000"/>
                <w:sz w:val="22"/>
                <w:szCs w:val="22"/>
              </w:rPr>
            </w:pPr>
            <w:r>
              <w:rPr>
                <w:b/>
                <w:color w:val="000000"/>
                <w:sz w:val="22"/>
                <w:szCs w:val="22"/>
              </w:rPr>
              <w:t>III. Tenant Selection and Assignment Plan</w:t>
            </w:r>
          </w:p>
        </w:tc>
        <w:tc>
          <w:tcPr>
            <w:tcW w:w="532" w:type="dxa"/>
          </w:tcPr>
          <w:p w:rsidR="00305180" w:rsidRDefault="00305180" w:rsidP="00067D59">
            <w:pPr>
              <w:autoSpaceDE w:val="0"/>
              <w:autoSpaceDN w:val="0"/>
              <w:adjustRightInd w:val="0"/>
              <w:jc w:val="both"/>
              <w:rPr>
                <w:b/>
                <w:color w:val="000000"/>
              </w:rPr>
            </w:pPr>
            <w:r>
              <w:rPr>
                <w:b/>
                <w:color w:val="000000"/>
              </w:rPr>
              <w:t>1</w:t>
            </w:r>
            <w:r w:rsidR="00067D59">
              <w:rPr>
                <w:b/>
                <w:color w:val="000000"/>
              </w:rPr>
              <w:t>4</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 xml:space="preserve">Organization of the Waiting List </w:t>
            </w:r>
          </w:p>
        </w:tc>
        <w:tc>
          <w:tcPr>
            <w:tcW w:w="532" w:type="dxa"/>
          </w:tcPr>
          <w:p w:rsidR="00305180" w:rsidRDefault="00067D59" w:rsidP="00067D59">
            <w:pPr>
              <w:autoSpaceDE w:val="0"/>
              <w:autoSpaceDN w:val="0"/>
              <w:adjustRightInd w:val="0"/>
              <w:jc w:val="both"/>
              <w:rPr>
                <w:color w:val="000000"/>
              </w:rPr>
            </w:pPr>
            <w:r>
              <w:rPr>
                <w:color w:val="000000"/>
              </w:rPr>
              <w:t>14</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Unit Offers to Applicants</w:t>
            </w:r>
          </w:p>
        </w:tc>
        <w:tc>
          <w:tcPr>
            <w:tcW w:w="532" w:type="dxa"/>
          </w:tcPr>
          <w:p w:rsidR="00305180" w:rsidRDefault="00067D59" w:rsidP="00067D59">
            <w:pPr>
              <w:autoSpaceDE w:val="0"/>
              <w:autoSpaceDN w:val="0"/>
              <w:adjustRightInd w:val="0"/>
              <w:jc w:val="both"/>
              <w:rPr>
                <w:color w:val="000000"/>
              </w:rPr>
            </w:pPr>
            <w:r>
              <w:rPr>
                <w:color w:val="000000"/>
              </w:rPr>
              <w:t>14</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Removing Applicants from the Waiting list</w:t>
            </w:r>
          </w:p>
        </w:tc>
        <w:tc>
          <w:tcPr>
            <w:tcW w:w="532" w:type="dxa"/>
          </w:tcPr>
          <w:p w:rsidR="00305180" w:rsidRDefault="00305180" w:rsidP="00067D59">
            <w:pPr>
              <w:autoSpaceDE w:val="0"/>
              <w:autoSpaceDN w:val="0"/>
              <w:adjustRightInd w:val="0"/>
              <w:jc w:val="both"/>
              <w:rPr>
                <w:color w:val="000000"/>
              </w:rPr>
            </w:pPr>
            <w:r>
              <w:rPr>
                <w:color w:val="000000"/>
              </w:rPr>
              <w:t>1</w:t>
            </w:r>
            <w:r w:rsidR="00067D59">
              <w:rPr>
                <w:color w:val="000000"/>
              </w:rPr>
              <w:t>6</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Good Cause for Applicant Refusal of Unit Offer</w:t>
            </w:r>
          </w:p>
        </w:tc>
        <w:tc>
          <w:tcPr>
            <w:tcW w:w="532" w:type="dxa"/>
          </w:tcPr>
          <w:p w:rsidR="00305180" w:rsidRDefault="00305180" w:rsidP="00067D59">
            <w:pPr>
              <w:autoSpaceDE w:val="0"/>
              <w:autoSpaceDN w:val="0"/>
              <w:adjustRightInd w:val="0"/>
              <w:jc w:val="both"/>
              <w:rPr>
                <w:color w:val="000000"/>
              </w:rPr>
            </w:pPr>
            <w:r>
              <w:rPr>
                <w:color w:val="000000"/>
              </w:rPr>
              <w:t>1</w:t>
            </w:r>
            <w:r w:rsidR="00067D59">
              <w:rPr>
                <w:color w:val="000000"/>
              </w:rPr>
              <w:t>7</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Dwelling Units with accessible/adaptable features</w:t>
            </w:r>
          </w:p>
        </w:tc>
        <w:tc>
          <w:tcPr>
            <w:tcW w:w="532" w:type="dxa"/>
          </w:tcPr>
          <w:p w:rsidR="00305180" w:rsidRDefault="00067D59" w:rsidP="00067D59">
            <w:pPr>
              <w:autoSpaceDE w:val="0"/>
              <w:autoSpaceDN w:val="0"/>
              <w:adjustRightInd w:val="0"/>
              <w:jc w:val="both"/>
              <w:rPr>
                <w:color w:val="000000"/>
              </w:rPr>
            </w:pPr>
            <w:r>
              <w:rPr>
                <w:color w:val="000000"/>
              </w:rPr>
              <w:t>17</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Administering the applicant and transfer wait lists</w:t>
            </w:r>
          </w:p>
        </w:tc>
        <w:tc>
          <w:tcPr>
            <w:tcW w:w="532" w:type="dxa"/>
          </w:tcPr>
          <w:p w:rsidR="00305180" w:rsidRDefault="00067D59">
            <w:pPr>
              <w:autoSpaceDE w:val="0"/>
              <w:autoSpaceDN w:val="0"/>
              <w:adjustRightInd w:val="0"/>
              <w:jc w:val="both"/>
              <w:rPr>
                <w:color w:val="000000"/>
              </w:rPr>
            </w:pPr>
            <w:r>
              <w:rPr>
                <w:color w:val="000000"/>
              </w:rPr>
              <w:t>17</w:t>
            </w:r>
          </w:p>
        </w:tc>
      </w:tr>
      <w:tr w:rsidR="00305180">
        <w:trPr>
          <w:jc w:val="center"/>
        </w:trPr>
        <w:tc>
          <w:tcPr>
            <w:tcW w:w="8093" w:type="dxa"/>
          </w:tcPr>
          <w:p w:rsidR="00305180" w:rsidRDefault="00305180">
            <w:pPr>
              <w:autoSpaceDE w:val="0"/>
              <w:autoSpaceDN w:val="0"/>
              <w:adjustRightInd w:val="0"/>
              <w:jc w:val="both"/>
              <w:rPr>
                <w:b/>
                <w:color w:val="00000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b/>
                <w:color w:val="000000"/>
                <w:sz w:val="22"/>
                <w:szCs w:val="22"/>
              </w:rPr>
            </w:pPr>
            <w:r>
              <w:rPr>
                <w:b/>
                <w:color w:val="000000"/>
                <w:sz w:val="22"/>
                <w:szCs w:val="22"/>
              </w:rPr>
              <w:t>IV. Leasing and Occupancy of Dwelling Units</w:t>
            </w:r>
          </w:p>
        </w:tc>
        <w:tc>
          <w:tcPr>
            <w:tcW w:w="532" w:type="dxa"/>
          </w:tcPr>
          <w:p w:rsidR="00305180" w:rsidRDefault="00067D59">
            <w:pPr>
              <w:autoSpaceDE w:val="0"/>
              <w:autoSpaceDN w:val="0"/>
              <w:adjustRightInd w:val="0"/>
              <w:jc w:val="both"/>
              <w:rPr>
                <w:b/>
                <w:color w:val="000000"/>
              </w:rPr>
            </w:pPr>
            <w:r>
              <w:rPr>
                <w:b/>
                <w:color w:val="000000"/>
              </w:rPr>
              <w:t>17</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General Leasing Policy</w:t>
            </w:r>
          </w:p>
        </w:tc>
        <w:tc>
          <w:tcPr>
            <w:tcW w:w="532" w:type="dxa"/>
          </w:tcPr>
          <w:p w:rsidR="00305180" w:rsidRDefault="00067D59">
            <w:pPr>
              <w:autoSpaceDE w:val="0"/>
              <w:autoSpaceDN w:val="0"/>
              <w:adjustRightInd w:val="0"/>
              <w:jc w:val="both"/>
              <w:rPr>
                <w:color w:val="000000"/>
              </w:rPr>
            </w:pPr>
            <w:r>
              <w:rPr>
                <w:color w:val="000000"/>
              </w:rPr>
              <w:t>18</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Showing Units Prior to Leasing</w:t>
            </w:r>
          </w:p>
        </w:tc>
        <w:tc>
          <w:tcPr>
            <w:tcW w:w="532" w:type="dxa"/>
          </w:tcPr>
          <w:p w:rsidR="00305180" w:rsidRDefault="00067D59">
            <w:pPr>
              <w:autoSpaceDE w:val="0"/>
              <w:autoSpaceDN w:val="0"/>
              <w:adjustRightInd w:val="0"/>
              <w:jc w:val="both"/>
              <w:rPr>
                <w:color w:val="000000"/>
              </w:rPr>
            </w:pPr>
            <w:r>
              <w:rPr>
                <w:color w:val="000000"/>
              </w:rPr>
              <w:t>18</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Occupancy, Additions to the Household and Visitors</w:t>
            </w:r>
          </w:p>
        </w:tc>
        <w:tc>
          <w:tcPr>
            <w:tcW w:w="532" w:type="dxa"/>
          </w:tcPr>
          <w:p w:rsidR="00305180" w:rsidRDefault="00067D59">
            <w:pPr>
              <w:autoSpaceDE w:val="0"/>
              <w:autoSpaceDN w:val="0"/>
              <w:adjustRightInd w:val="0"/>
              <w:jc w:val="both"/>
              <w:rPr>
                <w:color w:val="000000"/>
              </w:rPr>
            </w:pPr>
            <w:r>
              <w:rPr>
                <w:color w:val="000000"/>
              </w:rPr>
              <w:t>18</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Security Deposits</w:t>
            </w:r>
          </w:p>
        </w:tc>
        <w:tc>
          <w:tcPr>
            <w:tcW w:w="532" w:type="dxa"/>
          </w:tcPr>
          <w:p w:rsidR="00305180" w:rsidRDefault="00067D59">
            <w:pPr>
              <w:autoSpaceDE w:val="0"/>
              <w:autoSpaceDN w:val="0"/>
              <w:adjustRightInd w:val="0"/>
              <w:jc w:val="both"/>
              <w:rPr>
                <w:color w:val="000000"/>
              </w:rPr>
            </w:pPr>
            <w:r>
              <w:rPr>
                <w:color w:val="000000"/>
              </w:rPr>
              <w:t>19</w:t>
            </w:r>
          </w:p>
        </w:tc>
      </w:tr>
      <w:tr w:rsidR="00305180">
        <w:trPr>
          <w:jc w:val="center"/>
        </w:trPr>
        <w:tc>
          <w:tcPr>
            <w:tcW w:w="8093" w:type="dxa"/>
          </w:tcPr>
          <w:p w:rsidR="00305180" w:rsidRDefault="00305180">
            <w:pPr>
              <w:autoSpaceDE w:val="0"/>
              <w:autoSpaceDN w:val="0"/>
              <w:adjustRightInd w:val="0"/>
              <w:jc w:val="both"/>
              <w:rPr>
                <w:b/>
                <w:color w:val="00000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b/>
                <w:color w:val="000000"/>
                <w:sz w:val="22"/>
                <w:szCs w:val="22"/>
              </w:rPr>
            </w:pPr>
            <w:r>
              <w:rPr>
                <w:b/>
                <w:color w:val="000000"/>
                <w:sz w:val="22"/>
                <w:szCs w:val="22"/>
              </w:rPr>
              <w:t>V. Transfer Policy</w:t>
            </w:r>
          </w:p>
        </w:tc>
        <w:tc>
          <w:tcPr>
            <w:tcW w:w="532" w:type="dxa"/>
          </w:tcPr>
          <w:p w:rsidR="00305180" w:rsidRDefault="00305180" w:rsidP="00067D59">
            <w:pPr>
              <w:autoSpaceDE w:val="0"/>
              <w:autoSpaceDN w:val="0"/>
              <w:adjustRightInd w:val="0"/>
              <w:jc w:val="both"/>
              <w:rPr>
                <w:b/>
                <w:color w:val="000000"/>
              </w:rPr>
            </w:pPr>
            <w:r>
              <w:rPr>
                <w:b/>
                <w:color w:val="000000"/>
              </w:rPr>
              <w:t>2</w:t>
            </w:r>
            <w:r w:rsidR="00067D59">
              <w:rPr>
                <w:b/>
                <w:color w:val="000000"/>
              </w:rPr>
              <w:t>0</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General Transfer Policy</w:t>
            </w:r>
          </w:p>
        </w:tc>
        <w:tc>
          <w:tcPr>
            <w:tcW w:w="532" w:type="dxa"/>
          </w:tcPr>
          <w:p w:rsidR="00305180" w:rsidRDefault="00305180" w:rsidP="00067D59">
            <w:pPr>
              <w:autoSpaceDE w:val="0"/>
              <w:autoSpaceDN w:val="0"/>
              <w:adjustRightInd w:val="0"/>
              <w:jc w:val="both"/>
              <w:rPr>
                <w:color w:val="000000"/>
              </w:rPr>
            </w:pPr>
            <w:r>
              <w:rPr>
                <w:color w:val="000000"/>
              </w:rPr>
              <w:t>2</w:t>
            </w:r>
            <w:r w:rsidR="00067D59">
              <w:rPr>
                <w:color w:val="000000"/>
              </w:rPr>
              <w:t>0</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Types of Transfers</w:t>
            </w:r>
          </w:p>
        </w:tc>
        <w:tc>
          <w:tcPr>
            <w:tcW w:w="532" w:type="dxa"/>
          </w:tcPr>
          <w:p w:rsidR="00305180" w:rsidRDefault="00305180" w:rsidP="00067D59">
            <w:pPr>
              <w:autoSpaceDE w:val="0"/>
              <w:autoSpaceDN w:val="0"/>
              <w:adjustRightInd w:val="0"/>
              <w:jc w:val="both"/>
              <w:rPr>
                <w:color w:val="000000"/>
              </w:rPr>
            </w:pPr>
            <w:r>
              <w:rPr>
                <w:color w:val="000000"/>
              </w:rPr>
              <w:t>2</w:t>
            </w:r>
            <w:r w:rsidR="00067D59">
              <w:rPr>
                <w:color w:val="000000"/>
              </w:rPr>
              <w:t>0</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Processing Transfers</w:t>
            </w:r>
          </w:p>
        </w:tc>
        <w:tc>
          <w:tcPr>
            <w:tcW w:w="532" w:type="dxa"/>
          </w:tcPr>
          <w:p w:rsidR="00305180" w:rsidRDefault="00305180" w:rsidP="00067D59">
            <w:pPr>
              <w:autoSpaceDE w:val="0"/>
              <w:autoSpaceDN w:val="0"/>
              <w:adjustRightInd w:val="0"/>
              <w:jc w:val="both"/>
              <w:rPr>
                <w:color w:val="000000"/>
              </w:rPr>
            </w:pPr>
            <w:r>
              <w:rPr>
                <w:color w:val="000000"/>
              </w:rPr>
              <w:t>2</w:t>
            </w:r>
            <w:r w:rsidR="00067D59">
              <w:rPr>
                <w:color w:val="000000"/>
              </w:rPr>
              <w:t>1</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Good Record Requirement for Transfers</w:t>
            </w:r>
          </w:p>
        </w:tc>
        <w:tc>
          <w:tcPr>
            <w:tcW w:w="532" w:type="dxa"/>
          </w:tcPr>
          <w:p w:rsidR="00305180" w:rsidRDefault="00305180" w:rsidP="00067D59">
            <w:pPr>
              <w:autoSpaceDE w:val="0"/>
              <w:autoSpaceDN w:val="0"/>
              <w:adjustRightInd w:val="0"/>
              <w:jc w:val="both"/>
              <w:rPr>
                <w:color w:val="000000"/>
              </w:rPr>
            </w:pPr>
            <w:r>
              <w:rPr>
                <w:color w:val="000000"/>
              </w:rPr>
              <w:t>2</w:t>
            </w:r>
            <w:r w:rsidR="00067D59">
              <w:rPr>
                <w:color w:val="000000"/>
              </w:rPr>
              <w:t>2</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Incentive Transfers</w:t>
            </w:r>
          </w:p>
        </w:tc>
        <w:tc>
          <w:tcPr>
            <w:tcW w:w="532" w:type="dxa"/>
          </w:tcPr>
          <w:p w:rsidR="00305180" w:rsidRDefault="00305180" w:rsidP="00067D59">
            <w:pPr>
              <w:autoSpaceDE w:val="0"/>
              <w:autoSpaceDN w:val="0"/>
              <w:adjustRightInd w:val="0"/>
              <w:jc w:val="both"/>
              <w:rPr>
                <w:color w:val="000000"/>
              </w:rPr>
            </w:pPr>
            <w:r>
              <w:rPr>
                <w:color w:val="000000"/>
              </w:rPr>
              <w:t>2</w:t>
            </w:r>
            <w:r w:rsidR="00067D59">
              <w:rPr>
                <w:color w:val="000000"/>
              </w:rPr>
              <w:t>2</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Cost of Transfers</w:t>
            </w:r>
          </w:p>
        </w:tc>
        <w:tc>
          <w:tcPr>
            <w:tcW w:w="532" w:type="dxa"/>
          </w:tcPr>
          <w:p w:rsidR="00305180" w:rsidRDefault="00305180" w:rsidP="00067D59">
            <w:pPr>
              <w:autoSpaceDE w:val="0"/>
              <w:autoSpaceDN w:val="0"/>
              <w:adjustRightInd w:val="0"/>
              <w:jc w:val="both"/>
              <w:rPr>
                <w:color w:val="000000"/>
              </w:rPr>
            </w:pPr>
            <w:r>
              <w:rPr>
                <w:color w:val="000000"/>
              </w:rPr>
              <w:t>2</w:t>
            </w:r>
            <w:r w:rsidR="00067D59">
              <w:rPr>
                <w:color w:val="000000"/>
              </w:rPr>
              <w:t>2</w:t>
            </w:r>
          </w:p>
        </w:tc>
      </w:tr>
      <w:tr w:rsidR="00305180">
        <w:trPr>
          <w:jc w:val="center"/>
        </w:trPr>
        <w:tc>
          <w:tcPr>
            <w:tcW w:w="8093" w:type="dxa"/>
          </w:tcPr>
          <w:p w:rsidR="00305180" w:rsidRDefault="00305180">
            <w:pPr>
              <w:autoSpaceDE w:val="0"/>
              <w:autoSpaceDN w:val="0"/>
              <w:adjustRightInd w:val="0"/>
              <w:jc w:val="both"/>
              <w:rPr>
                <w:b/>
                <w:color w:val="00000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b/>
                <w:color w:val="000000"/>
                <w:sz w:val="22"/>
                <w:szCs w:val="22"/>
              </w:rPr>
            </w:pPr>
            <w:r>
              <w:rPr>
                <w:b/>
                <w:color w:val="000000"/>
                <w:sz w:val="22"/>
                <w:szCs w:val="22"/>
              </w:rPr>
              <w:t>VI. Eligibility for Continued Occupancy and Annual Reexamination</w:t>
            </w:r>
          </w:p>
        </w:tc>
        <w:tc>
          <w:tcPr>
            <w:tcW w:w="532" w:type="dxa"/>
          </w:tcPr>
          <w:p w:rsidR="00305180" w:rsidRDefault="00305180" w:rsidP="009D2783">
            <w:pPr>
              <w:autoSpaceDE w:val="0"/>
              <w:autoSpaceDN w:val="0"/>
              <w:adjustRightInd w:val="0"/>
              <w:jc w:val="both"/>
              <w:rPr>
                <w:b/>
                <w:color w:val="000000"/>
              </w:rPr>
            </w:pPr>
            <w:r>
              <w:rPr>
                <w:b/>
                <w:color w:val="000000"/>
              </w:rPr>
              <w:t>2</w:t>
            </w:r>
            <w:r w:rsidR="009D2783">
              <w:rPr>
                <w:b/>
                <w:color w:val="000000"/>
              </w:rPr>
              <w:t>3</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Eligibility for Continued Occupancy</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3</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Remaining Family Members and Prior Debt</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3</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Periodic Re-examination</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4</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Community Service Policy</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4</w:t>
            </w:r>
          </w:p>
        </w:tc>
      </w:tr>
      <w:tr w:rsidR="00305180">
        <w:trPr>
          <w:jc w:val="center"/>
        </w:trPr>
        <w:tc>
          <w:tcPr>
            <w:tcW w:w="8093" w:type="dxa"/>
          </w:tcPr>
          <w:p w:rsidR="00305180" w:rsidRDefault="00305180">
            <w:pPr>
              <w:autoSpaceDE w:val="0"/>
              <w:autoSpaceDN w:val="0"/>
              <w:adjustRightInd w:val="0"/>
              <w:jc w:val="both"/>
              <w:rPr>
                <w:b/>
                <w:color w:val="00000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b/>
                <w:color w:val="000000"/>
                <w:sz w:val="22"/>
                <w:szCs w:val="22"/>
              </w:rPr>
            </w:pPr>
            <w:r>
              <w:rPr>
                <w:b/>
                <w:color w:val="000000"/>
                <w:sz w:val="22"/>
                <w:szCs w:val="22"/>
              </w:rPr>
              <w:lastRenderedPageBreak/>
              <w:t>VII. Inspections</w:t>
            </w:r>
          </w:p>
        </w:tc>
        <w:tc>
          <w:tcPr>
            <w:tcW w:w="532" w:type="dxa"/>
          </w:tcPr>
          <w:p w:rsidR="00305180" w:rsidRDefault="009D2783">
            <w:pPr>
              <w:autoSpaceDE w:val="0"/>
              <w:autoSpaceDN w:val="0"/>
              <w:adjustRightInd w:val="0"/>
              <w:jc w:val="both"/>
              <w:rPr>
                <w:b/>
                <w:color w:val="000000"/>
              </w:rPr>
            </w:pPr>
            <w:r>
              <w:rPr>
                <w:b/>
                <w:color w:val="000000"/>
              </w:rPr>
              <w:t>25</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Move In Inspections</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5</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Annual Inspections</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5</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Preventative Maintenance Inspections</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6</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Special Inspections</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6</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Housekeeping Inspections</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6</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Notice of Inspections</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6</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Emergency Inspections</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6</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Move Out Inspections</w:t>
            </w:r>
          </w:p>
        </w:tc>
        <w:tc>
          <w:tcPr>
            <w:tcW w:w="532" w:type="dxa"/>
          </w:tcPr>
          <w:p w:rsidR="00305180" w:rsidRDefault="00305180" w:rsidP="009D2783">
            <w:pPr>
              <w:autoSpaceDE w:val="0"/>
              <w:autoSpaceDN w:val="0"/>
              <w:adjustRightInd w:val="0"/>
              <w:jc w:val="both"/>
              <w:rPr>
                <w:color w:val="000000"/>
              </w:rPr>
            </w:pPr>
            <w:r>
              <w:rPr>
                <w:color w:val="000000"/>
              </w:rPr>
              <w:t>2</w:t>
            </w:r>
            <w:r w:rsidR="009D2783">
              <w:rPr>
                <w:color w:val="000000"/>
              </w:rPr>
              <w:t>6</w:t>
            </w:r>
          </w:p>
        </w:tc>
      </w:tr>
      <w:tr w:rsidR="00305180">
        <w:trPr>
          <w:jc w:val="center"/>
        </w:trPr>
        <w:tc>
          <w:tcPr>
            <w:tcW w:w="8093" w:type="dxa"/>
          </w:tcPr>
          <w:p w:rsidR="00305180" w:rsidRDefault="00305180">
            <w:pPr>
              <w:autoSpaceDE w:val="0"/>
              <w:autoSpaceDN w:val="0"/>
              <w:adjustRightInd w:val="0"/>
              <w:jc w:val="both"/>
              <w:rPr>
                <w:color w:val="00000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color w:val="000000"/>
                <w:sz w:val="22"/>
                <w:szCs w:val="22"/>
              </w:rPr>
            </w:pPr>
            <w:r>
              <w:rPr>
                <w:b/>
                <w:color w:val="000000"/>
                <w:sz w:val="22"/>
                <w:szCs w:val="22"/>
              </w:rPr>
              <w:t>VIII. Pet Policy</w:t>
            </w:r>
          </w:p>
        </w:tc>
        <w:tc>
          <w:tcPr>
            <w:tcW w:w="532" w:type="dxa"/>
          </w:tcPr>
          <w:p w:rsidR="00305180" w:rsidRDefault="009D2783">
            <w:pPr>
              <w:autoSpaceDE w:val="0"/>
              <w:autoSpaceDN w:val="0"/>
              <w:adjustRightInd w:val="0"/>
              <w:jc w:val="both"/>
              <w:rPr>
                <w:b/>
                <w:color w:val="000000"/>
              </w:rPr>
            </w:pPr>
            <w:r>
              <w:rPr>
                <w:b/>
                <w:color w:val="000000"/>
              </w:rPr>
              <w:t>27</w:t>
            </w:r>
          </w:p>
        </w:tc>
      </w:tr>
      <w:tr w:rsidR="00305180">
        <w:trPr>
          <w:jc w:val="center"/>
        </w:trPr>
        <w:tc>
          <w:tcPr>
            <w:tcW w:w="8093" w:type="dxa"/>
          </w:tcPr>
          <w:p w:rsidR="00305180" w:rsidRDefault="00305180">
            <w:pPr>
              <w:autoSpaceDE w:val="0"/>
              <w:autoSpaceDN w:val="0"/>
              <w:adjustRightInd w:val="0"/>
              <w:jc w:val="both"/>
              <w:rPr>
                <w:color w:val="000000"/>
              </w:rPr>
            </w:pPr>
          </w:p>
        </w:tc>
        <w:tc>
          <w:tcPr>
            <w:tcW w:w="532" w:type="dxa"/>
          </w:tcPr>
          <w:p w:rsidR="00305180" w:rsidRDefault="00305180">
            <w:pPr>
              <w:autoSpaceDE w:val="0"/>
              <w:autoSpaceDN w:val="0"/>
              <w:adjustRightInd w:val="0"/>
              <w:jc w:val="both"/>
              <w:rPr>
                <w:b/>
                <w:color w:val="000000"/>
              </w:rPr>
            </w:pPr>
          </w:p>
        </w:tc>
      </w:tr>
      <w:tr w:rsidR="00305180" w:rsidTr="009D2783">
        <w:trPr>
          <w:trHeight w:val="279"/>
          <w:jc w:val="center"/>
        </w:trPr>
        <w:tc>
          <w:tcPr>
            <w:tcW w:w="8093" w:type="dxa"/>
          </w:tcPr>
          <w:p w:rsidR="00305180" w:rsidRDefault="00305180">
            <w:pPr>
              <w:autoSpaceDE w:val="0"/>
              <w:autoSpaceDN w:val="0"/>
              <w:adjustRightInd w:val="0"/>
              <w:jc w:val="both"/>
              <w:rPr>
                <w:color w:val="000000"/>
                <w:sz w:val="22"/>
                <w:szCs w:val="22"/>
              </w:rPr>
            </w:pPr>
            <w:r>
              <w:rPr>
                <w:b/>
                <w:color w:val="000000"/>
                <w:sz w:val="22"/>
                <w:szCs w:val="22"/>
              </w:rPr>
              <w:t>IX. Interim Rent Adjustments</w:t>
            </w:r>
          </w:p>
        </w:tc>
        <w:tc>
          <w:tcPr>
            <w:tcW w:w="532" w:type="dxa"/>
          </w:tcPr>
          <w:p w:rsidR="00305180" w:rsidRDefault="009D2783">
            <w:pPr>
              <w:autoSpaceDE w:val="0"/>
              <w:autoSpaceDN w:val="0"/>
              <w:adjustRightInd w:val="0"/>
              <w:jc w:val="both"/>
              <w:rPr>
                <w:b/>
                <w:color w:val="000000"/>
              </w:rPr>
            </w:pPr>
            <w:r>
              <w:rPr>
                <w:b/>
                <w:color w:val="000000"/>
              </w:rPr>
              <w:t>29</w:t>
            </w:r>
          </w:p>
        </w:tc>
      </w:tr>
      <w:tr w:rsidR="00305180">
        <w:trPr>
          <w:jc w:val="center"/>
        </w:trPr>
        <w:tc>
          <w:tcPr>
            <w:tcW w:w="8093" w:type="dxa"/>
          </w:tcPr>
          <w:p w:rsidR="00305180" w:rsidRDefault="00305180">
            <w:pPr>
              <w:autoSpaceDE w:val="0"/>
              <w:autoSpaceDN w:val="0"/>
              <w:adjustRightInd w:val="0"/>
              <w:jc w:val="both"/>
              <w:rPr>
                <w:b/>
                <w:color w:val="000000"/>
              </w:rPr>
            </w:pPr>
            <w:r>
              <w:rPr>
                <w:color w:val="000000"/>
              </w:rPr>
              <w:t>Rent Adjustments</w:t>
            </w:r>
          </w:p>
        </w:tc>
        <w:tc>
          <w:tcPr>
            <w:tcW w:w="532" w:type="dxa"/>
          </w:tcPr>
          <w:p w:rsidR="00305180" w:rsidRDefault="009D2783">
            <w:pPr>
              <w:autoSpaceDE w:val="0"/>
              <w:autoSpaceDN w:val="0"/>
              <w:adjustRightInd w:val="0"/>
              <w:jc w:val="both"/>
              <w:rPr>
                <w:color w:val="000000"/>
              </w:rPr>
            </w:pPr>
            <w:r>
              <w:rPr>
                <w:color w:val="000000"/>
              </w:rPr>
              <w:t>29</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Effective Date of Adjustments</w:t>
            </w:r>
          </w:p>
        </w:tc>
        <w:tc>
          <w:tcPr>
            <w:tcW w:w="532" w:type="dxa"/>
          </w:tcPr>
          <w:p w:rsidR="00305180" w:rsidRDefault="009D2783">
            <w:pPr>
              <w:autoSpaceDE w:val="0"/>
              <w:autoSpaceDN w:val="0"/>
              <w:adjustRightInd w:val="0"/>
              <w:jc w:val="both"/>
              <w:rPr>
                <w:color w:val="000000"/>
              </w:rPr>
            </w:pPr>
            <w:r>
              <w:rPr>
                <w:color w:val="000000"/>
              </w:rPr>
              <w:t>29</w:t>
            </w:r>
          </w:p>
        </w:tc>
      </w:tr>
      <w:tr w:rsidR="00305180">
        <w:trPr>
          <w:jc w:val="center"/>
        </w:trPr>
        <w:tc>
          <w:tcPr>
            <w:tcW w:w="8093" w:type="dxa"/>
          </w:tcPr>
          <w:p w:rsidR="00305180" w:rsidRDefault="00305180">
            <w:pPr>
              <w:autoSpaceDE w:val="0"/>
              <w:autoSpaceDN w:val="0"/>
              <w:adjustRightInd w:val="0"/>
              <w:jc w:val="both"/>
              <w:rPr>
                <w:color w:val="00000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pStyle w:val="Heading9"/>
              <w:rPr>
                <w:sz w:val="22"/>
                <w:szCs w:val="22"/>
              </w:rPr>
            </w:pPr>
            <w:r>
              <w:rPr>
                <w:sz w:val="22"/>
                <w:szCs w:val="22"/>
              </w:rPr>
              <w:t>X. Lease Termination Procedures</w:t>
            </w:r>
          </w:p>
        </w:tc>
        <w:tc>
          <w:tcPr>
            <w:tcW w:w="532" w:type="dxa"/>
          </w:tcPr>
          <w:p w:rsidR="00305180" w:rsidRDefault="00305180" w:rsidP="009D2783">
            <w:pPr>
              <w:autoSpaceDE w:val="0"/>
              <w:autoSpaceDN w:val="0"/>
              <w:adjustRightInd w:val="0"/>
              <w:jc w:val="both"/>
              <w:rPr>
                <w:b/>
                <w:color w:val="000000"/>
              </w:rPr>
            </w:pPr>
            <w:r>
              <w:rPr>
                <w:b/>
                <w:color w:val="000000"/>
              </w:rPr>
              <w:t>3</w:t>
            </w:r>
            <w:r w:rsidR="009D2783">
              <w:rPr>
                <w:b/>
                <w:color w:val="000000"/>
              </w:rPr>
              <w:t>0</w:t>
            </w:r>
          </w:p>
        </w:tc>
      </w:tr>
      <w:tr w:rsidR="00305180">
        <w:trPr>
          <w:jc w:val="center"/>
        </w:trPr>
        <w:tc>
          <w:tcPr>
            <w:tcW w:w="8093" w:type="dxa"/>
          </w:tcPr>
          <w:p w:rsidR="00305180" w:rsidRDefault="00305180">
            <w:pPr>
              <w:pStyle w:val="Heading9"/>
              <w:rPr>
                <w:b w:val="0"/>
              </w:rPr>
            </w:pPr>
            <w:r>
              <w:rPr>
                <w:b w:val="0"/>
              </w:rPr>
              <w:t>General Policy: Lease Terminations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0</w:t>
            </w:r>
          </w:p>
        </w:tc>
      </w:tr>
      <w:tr w:rsidR="00305180">
        <w:trPr>
          <w:jc w:val="center"/>
        </w:trPr>
        <w:tc>
          <w:tcPr>
            <w:tcW w:w="8093" w:type="dxa"/>
          </w:tcPr>
          <w:p w:rsidR="00305180" w:rsidRDefault="00305180">
            <w:pPr>
              <w:pStyle w:val="Heading9"/>
              <w:rPr>
                <w:b w:val="0"/>
              </w:rPr>
            </w:pPr>
            <w:r>
              <w:rPr>
                <w:b w:val="0"/>
              </w:rPr>
              <w:t>Notice Requirements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0</w:t>
            </w:r>
          </w:p>
        </w:tc>
      </w:tr>
      <w:tr w:rsidR="00305180">
        <w:trPr>
          <w:jc w:val="center"/>
        </w:trPr>
        <w:tc>
          <w:tcPr>
            <w:tcW w:w="8093" w:type="dxa"/>
          </w:tcPr>
          <w:p w:rsidR="00305180" w:rsidRDefault="00305180">
            <w:pPr>
              <w:pStyle w:val="Heading9"/>
              <w:rPr>
                <w:b w:val="0"/>
              </w:rPr>
            </w:pPr>
            <w:r>
              <w:rPr>
                <w:b w:val="0"/>
              </w:rPr>
              <w:t>Record keeping Requirements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0</w:t>
            </w:r>
          </w:p>
        </w:tc>
      </w:tr>
      <w:tr w:rsidR="00305180">
        <w:trPr>
          <w:jc w:val="center"/>
        </w:trPr>
        <w:tc>
          <w:tcPr>
            <w:tcW w:w="8093" w:type="dxa"/>
          </w:tcPr>
          <w:p w:rsidR="00305180" w:rsidRDefault="00305180">
            <w:pPr>
              <w:pStyle w:val="Heading9"/>
              <w:rPr>
                <w:b w:val="0"/>
              </w:rPr>
            </w:pPr>
            <w:r>
              <w:rPr>
                <w:b w:val="0"/>
              </w:rPr>
              <w:t>Re-Payment Agreements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1</w:t>
            </w:r>
          </w:p>
        </w:tc>
      </w:tr>
      <w:tr w:rsidR="00305180">
        <w:trPr>
          <w:jc w:val="center"/>
        </w:trPr>
        <w:tc>
          <w:tcPr>
            <w:tcW w:w="8093" w:type="dxa"/>
          </w:tcPr>
          <w:p w:rsidR="00305180" w:rsidRDefault="00305180">
            <w:pPr>
              <w:pStyle w:val="Heading9"/>
              <w:rPr>
                <w:b w:val="0"/>
              </w:rPr>
            </w:pPr>
            <w:r>
              <w:rPr>
                <w:b w:val="0"/>
              </w:rPr>
              <w:t>Abandonment</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1</w:t>
            </w:r>
          </w:p>
        </w:tc>
      </w:tr>
      <w:tr w:rsidR="00305180">
        <w:trPr>
          <w:jc w:val="center"/>
        </w:trPr>
        <w:tc>
          <w:tcPr>
            <w:tcW w:w="8093" w:type="dxa"/>
          </w:tcPr>
          <w:p w:rsidR="00305180" w:rsidRDefault="00305180">
            <w:pPr>
              <w:pStyle w:val="Heading9"/>
              <w:rPr>
                <w:b w:val="0"/>
              </w:rPr>
            </w:pPr>
            <w:r>
              <w:rPr>
                <w:b w:val="0"/>
              </w:rPr>
              <w:t>Security Deposit Refunds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1</w:t>
            </w:r>
          </w:p>
        </w:tc>
      </w:tr>
      <w:tr w:rsidR="00305180">
        <w:trPr>
          <w:jc w:val="center"/>
        </w:trPr>
        <w:tc>
          <w:tcPr>
            <w:tcW w:w="8093" w:type="dxa"/>
          </w:tcPr>
          <w:p w:rsidR="00305180" w:rsidRDefault="00305180">
            <w:pPr>
              <w:pStyle w:val="Heading9"/>
              <w:rPr>
                <w:b w:val="0"/>
              </w:rPr>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pStyle w:val="Heading9"/>
              <w:rPr>
                <w:sz w:val="22"/>
                <w:szCs w:val="22"/>
              </w:rPr>
            </w:pPr>
            <w:r>
              <w:rPr>
                <w:sz w:val="22"/>
                <w:szCs w:val="22"/>
              </w:rPr>
              <w:t>XI. Utilities</w:t>
            </w:r>
          </w:p>
        </w:tc>
        <w:tc>
          <w:tcPr>
            <w:tcW w:w="532" w:type="dxa"/>
          </w:tcPr>
          <w:p w:rsidR="00305180" w:rsidRDefault="00305180" w:rsidP="009D2783">
            <w:pPr>
              <w:autoSpaceDE w:val="0"/>
              <w:autoSpaceDN w:val="0"/>
              <w:adjustRightInd w:val="0"/>
              <w:jc w:val="both"/>
              <w:rPr>
                <w:b/>
                <w:color w:val="000000"/>
              </w:rPr>
            </w:pPr>
            <w:r>
              <w:rPr>
                <w:b/>
                <w:color w:val="000000"/>
              </w:rPr>
              <w:t>3</w:t>
            </w:r>
            <w:r w:rsidR="009D2783">
              <w:rPr>
                <w:b/>
                <w:color w:val="000000"/>
              </w:rPr>
              <w:t>2</w:t>
            </w:r>
          </w:p>
        </w:tc>
      </w:tr>
      <w:tr w:rsidR="00305180">
        <w:trPr>
          <w:jc w:val="center"/>
        </w:trPr>
        <w:tc>
          <w:tcPr>
            <w:tcW w:w="8093" w:type="dxa"/>
          </w:tcPr>
          <w:p w:rsidR="00305180" w:rsidRDefault="00305180">
            <w:pPr>
              <w:pStyle w:val="Heading9"/>
              <w:rPr>
                <w:b w:val="0"/>
              </w:rPr>
            </w:pPr>
            <w:r>
              <w:rPr>
                <w:b w:val="0"/>
              </w:rPr>
              <w:t>Resident-Paid Utilities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2</w:t>
            </w:r>
          </w:p>
        </w:tc>
      </w:tr>
      <w:tr w:rsidR="00305180">
        <w:trPr>
          <w:jc w:val="center"/>
        </w:trPr>
        <w:tc>
          <w:tcPr>
            <w:tcW w:w="8093" w:type="dxa"/>
          </w:tcPr>
          <w:p w:rsidR="00305180" w:rsidRDefault="00305180">
            <w:pPr>
              <w:pStyle w:val="Heading9"/>
              <w:rPr>
                <w:b w:val="0"/>
              </w:rPr>
            </w:pPr>
            <w:r>
              <w:rPr>
                <w:b w:val="0"/>
              </w:rPr>
              <w:t>Excess Utility Charges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2</w:t>
            </w:r>
          </w:p>
        </w:tc>
      </w:tr>
      <w:tr w:rsidR="00305180">
        <w:trPr>
          <w:jc w:val="center"/>
        </w:trPr>
        <w:tc>
          <w:tcPr>
            <w:tcW w:w="8093" w:type="dxa"/>
          </w:tcPr>
          <w:p w:rsidR="00305180" w:rsidRDefault="00305180">
            <w:pPr>
              <w:pStyle w:val="Heading9"/>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pStyle w:val="Heading9"/>
              <w:rPr>
                <w:sz w:val="22"/>
                <w:szCs w:val="22"/>
              </w:rPr>
            </w:pPr>
            <w:r>
              <w:rPr>
                <w:sz w:val="22"/>
                <w:szCs w:val="22"/>
              </w:rPr>
              <w:t>XII. Flat Rents</w:t>
            </w:r>
          </w:p>
        </w:tc>
        <w:tc>
          <w:tcPr>
            <w:tcW w:w="532" w:type="dxa"/>
          </w:tcPr>
          <w:p w:rsidR="00305180" w:rsidRDefault="00305180" w:rsidP="009D2783">
            <w:pPr>
              <w:autoSpaceDE w:val="0"/>
              <w:autoSpaceDN w:val="0"/>
              <w:adjustRightInd w:val="0"/>
              <w:jc w:val="both"/>
              <w:rPr>
                <w:b/>
                <w:color w:val="000000"/>
              </w:rPr>
            </w:pPr>
            <w:r>
              <w:rPr>
                <w:b/>
                <w:color w:val="000000"/>
              </w:rPr>
              <w:t>3</w:t>
            </w:r>
            <w:r w:rsidR="009D2783">
              <w:rPr>
                <w:b/>
                <w:color w:val="000000"/>
              </w:rPr>
              <w:t>3</w:t>
            </w:r>
          </w:p>
        </w:tc>
      </w:tr>
      <w:tr w:rsidR="00305180">
        <w:trPr>
          <w:jc w:val="center"/>
        </w:trPr>
        <w:tc>
          <w:tcPr>
            <w:tcW w:w="8093" w:type="dxa"/>
          </w:tcPr>
          <w:p w:rsidR="00305180" w:rsidRDefault="00305180">
            <w:pPr>
              <w:pStyle w:val="Heading9"/>
              <w:rPr>
                <w:b w:val="0"/>
              </w:rPr>
            </w:pPr>
            <w:r>
              <w:rPr>
                <w:b w:val="0"/>
              </w:rPr>
              <w:t>Intent and Purpose</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3</w:t>
            </w:r>
          </w:p>
        </w:tc>
      </w:tr>
      <w:tr w:rsidR="00305180">
        <w:trPr>
          <w:jc w:val="center"/>
        </w:trPr>
        <w:tc>
          <w:tcPr>
            <w:tcW w:w="8093" w:type="dxa"/>
          </w:tcPr>
          <w:p w:rsidR="00305180" w:rsidRDefault="00305180">
            <w:pPr>
              <w:pStyle w:val="Heading9"/>
              <w:rPr>
                <w:b w:val="0"/>
              </w:rPr>
            </w:pPr>
            <w:r>
              <w:rPr>
                <w:b w:val="0"/>
              </w:rPr>
              <w:t>Annual Update of Flat Rents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3</w:t>
            </w:r>
          </w:p>
        </w:tc>
      </w:tr>
      <w:tr w:rsidR="00305180">
        <w:trPr>
          <w:jc w:val="center"/>
        </w:trPr>
        <w:tc>
          <w:tcPr>
            <w:tcW w:w="8093" w:type="dxa"/>
          </w:tcPr>
          <w:p w:rsidR="00305180" w:rsidRDefault="00305180">
            <w:pPr>
              <w:pStyle w:val="Heading9"/>
              <w:rPr>
                <w:b w:val="0"/>
              </w:rPr>
            </w:pPr>
            <w:r>
              <w:rPr>
                <w:b w:val="0"/>
              </w:rPr>
              <w:t>Recertification of Families on Flat Rents</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3</w:t>
            </w:r>
          </w:p>
        </w:tc>
      </w:tr>
      <w:tr w:rsidR="00305180">
        <w:trPr>
          <w:jc w:val="center"/>
        </w:trPr>
        <w:tc>
          <w:tcPr>
            <w:tcW w:w="8093" w:type="dxa"/>
          </w:tcPr>
          <w:p w:rsidR="00305180" w:rsidRDefault="00305180">
            <w:pPr>
              <w:pStyle w:val="Heading9"/>
            </w:pP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b/>
                <w:color w:val="000000"/>
                <w:sz w:val="22"/>
                <w:szCs w:val="22"/>
              </w:rPr>
            </w:pPr>
            <w:r>
              <w:rPr>
                <w:b/>
                <w:color w:val="000000"/>
                <w:sz w:val="22"/>
                <w:szCs w:val="22"/>
              </w:rPr>
              <w:t xml:space="preserve">XIII. Definitions and Procedures to be used in Determining </w:t>
            </w:r>
            <w:r>
              <w:rPr>
                <w:b/>
                <w:sz w:val="22"/>
                <w:szCs w:val="22"/>
              </w:rPr>
              <w:t>Income and Rent</w:t>
            </w:r>
          </w:p>
        </w:tc>
        <w:tc>
          <w:tcPr>
            <w:tcW w:w="532" w:type="dxa"/>
          </w:tcPr>
          <w:p w:rsidR="00305180" w:rsidRDefault="00305180" w:rsidP="009D2783">
            <w:pPr>
              <w:autoSpaceDE w:val="0"/>
              <w:autoSpaceDN w:val="0"/>
              <w:adjustRightInd w:val="0"/>
              <w:jc w:val="both"/>
              <w:rPr>
                <w:b/>
                <w:color w:val="000000"/>
              </w:rPr>
            </w:pPr>
            <w:r>
              <w:rPr>
                <w:b/>
                <w:color w:val="000000"/>
              </w:rPr>
              <w:t>3</w:t>
            </w:r>
            <w:r w:rsidR="009D2783">
              <w:rPr>
                <w:b/>
                <w:color w:val="000000"/>
              </w:rPr>
              <w:t>3</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Annual Income</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4</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Items not included in Annual Income</w:t>
            </w:r>
          </w:p>
        </w:tc>
        <w:tc>
          <w:tcPr>
            <w:tcW w:w="532" w:type="dxa"/>
          </w:tcPr>
          <w:p w:rsidR="00305180" w:rsidRDefault="00305180" w:rsidP="009D2783">
            <w:pPr>
              <w:autoSpaceDE w:val="0"/>
              <w:autoSpaceDN w:val="0"/>
              <w:adjustRightInd w:val="0"/>
              <w:jc w:val="both"/>
              <w:rPr>
                <w:color w:val="000000"/>
              </w:rPr>
            </w:pPr>
            <w:r>
              <w:rPr>
                <w:color w:val="000000"/>
              </w:rPr>
              <w:t>3</w:t>
            </w:r>
            <w:r w:rsidR="009D2783">
              <w:rPr>
                <w:color w:val="000000"/>
              </w:rPr>
              <w:t>5</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Anticipating Annual Income</w:t>
            </w:r>
          </w:p>
        </w:tc>
        <w:tc>
          <w:tcPr>
            <w:tcW w:w="532" w:type="dxa"/>
          </w:tcPr>
          <w:p w:rsidR="00305180" w:rsidRDefault="009D2783" w:rsidP="009D2783">
            <w:pPr>
              <w:autoSpaceDE w:val="0"/>
              <w:autoSpaceDN w:val="0"/>
              <w:adjustRightInd w:val="0"/>
              <w:jc w:val="both"/>
              <w:rPr>
                <w:color w:val="000000"/>
              </w:rPr>
            </w:pPr>
            <w:r>
              <w:rPr>
                <w:color w:val="000000"/>
              </w:rPr>
              <w:t>36</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Adjusted Income</w:t>
            </w:r>
          </w:p>
        </w:tc>
        <w:tc>
          <w:tcPr>
            <w:tcW w:w="532" w:type="dxa"/>
          </w:tcPr>
          <w:p w:rsidR="00305180" w:rsidRDefault="009D2783" w:rsidP="009D2783">
            <w:pPr>
              <w:autoSpaceDE w:val="0"/>
              <w:autoSpaceDN w:val="0"/>
              <w:adjustRightInd w:val="0"/>
              <w:jc w:val="both"/>
              <w:rPr>
                <w:color w:val="000000"/>
              </w:rPr>
            </w:pPr>
            <w:r>
              <w:rPr>
                <w:color w:val="000000"/>
              </w:rPr>
              <w:t>37</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Rent Computation</w:t>
            </w:r>
          </w:p>
        </w:tc>
        <w:tc>
          <w:tcPr>
            <w:tcW w:w="532" w:type="dxa"/>
          </w:tcPr>
          <w:p w:rsidR="00305180" w:rsidRDefault="009D2783" w:rsidP="009D2783">
            <w:pPr>
              <w:autoSpaceDE w:val="0"/>
              <w:autoSpaceDN w:val="0"/>
              <w:adjustRightInd w:val="0"/>
              <w:jc w:val="both"/>
              <w:rPr>
                <w:color w:val="000000"/>
              </w:rPr>
            </w:pPr>
            <w:r>
              <w:rPr>
                <w:color w:val="000000"/>
              </w:rPr>
              <w:t>38</w:t>
            </w: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Rent for Families under non-citizen Rule</w:t>
            </w:r>
          </w:p>
        </w:tc>
        <w:tc>
          <w:tcPr>
            <w:tcW w:w="532" w:type="dxa"/>
          </w:tcPr>
          <w:p w:rsidR="00305180" w:rsidRDefault="009D2783" w:rsidP="009D2783">
            <w:pPr>
              <w:autoSpaceDE w:val="0"/>
              <w:autoSpaceDN w:val="0"/>
              <w:adjustRightInd w:val="0"/>
              <w:jc w:val="both"/>
              <w:rPr>
                <w:color w:val="000000"/>
              </w:rPr>
            </w:pPr>
            <w:r>
              <w:rPr>
                <w:color w:val="000000"/>
              </w:rPr>
              <w:t>39</w:t>
            </w:r>
          </w:p>
        </w:tc>
      </w:tr>
      <w:tr w:rsidR="00305180">
        <w:trPr>
          <w:jc w:val="center"/>
        </w:trPr>
        <w:tc>
          <w:tcPr>
            <w:tcW w:w="8093" w:type="dxa"/>
          </w:tcPr>
          <w:p w:rsidR="00305180" w:rsidRDefault="00305180">
            <w:pPr>
              <w:pStyle w:val="Heading9"/>
              <w:rPr>
                <w:sz w:val="22"/>
                <w:szCs w:val="22"/>
              </w:rPr>
            </w:pPr>
            <w:r>
              <w:rPr>
                <w:sz w:val="22"/>
                <w:szCs w:val="22"/>
              </w:rPr>
              <w:t>IVX. Attachments</w:t>
            </w: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Grievance Procedures</w:t>
            </w: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Lease Agreement</w:t>
            </w: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Reasonable Accommodation Policy</w:t>
            </w: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Schedule of Maintenance Charges</w:t>
            </w:r>
          </w:p>
        </w:tc>
        <w:tc>
          <w:tcPr>
            <w:tcW w:w="532" w:type="dxa"/>
          </w:tcPr>
          <w:p w:rsidR="00305180" w:rsidRDefault="00305180">
            <w:pPr>
              <w:autoSpaceDE w:val="0"/>
              <w:autoSpaceDN w:val="0"/>
              <w:adjustRightInd w:val="0"/>
              <w:jc w:val="both"/>
              <w:rPr>
                <w:b/>
                <w:color w:val="000000"/>
              </w:rPr>
            </w:pPr>
          </w:p>
        </w:tc>
      </w:tr>
      <w:tr w:rsidR="00305180">
        <w:trPr>
          <w:jc w:val="center"/>
        </w:trPr>
        <w:tc>
          <w:tcPr>
            <w:tcW w:w="8093" w:type="dxa"/>
          </w:tcPr>
          <w:p w:rsidR="00305180" w:rsidRDefault="00305180">
            <w:pPr>
              <w:autoSpaceDE w:val="0"/>
              <w:autoSpaceDN w:val="0"/>
              <w:adjustRightInd w:val="0"/>
              <w:jc w:val="both"/>
              <w:rPr>
                <w:color w:val="000000"/>
              </w:rPr>
            </w:pPr>
            <w:r>
              <w:rPr>
                <w:color w:val="000000"/>
              </w:rPr>
              <w:t>Play Equipment Policy</w:t>
            </w:r>
          </w:p>
        </w:tc>
        <w:tc>
          <w:tcPr>
            <w:tcW w:w="532" w:type="dxa"/>
          </w:tcPr>
          <w:p w:rsidR="00305180" w:rsidRDefault="00305180">
            <w:pPr>
              <w:autoSpaceDE w:val="0"/>
              <w:autoSpaceDN w:val="0"/>
              <w:adjustRightInd w:val="0"/>
              <w:jc w:val="both"/>
              <w:rPr>
                <w:b/>
                <w:color w:val="000000"/>
              </w:rPr>
            </w:pPr>
          </w:p>
        </w:tc>
      </w:tr>
    </w:tbl>
    <w:p w:rsidR="00615AAC" w:rsidRDefault="00615AAC">
      <w:pPr>
        <w:autoSpaceDE w:val="0"/>
        <w:autoSpaceDN w:val="0"/>
        <w:adjustRightInd w:val="0"/>
        <w:jc w:val="both"/>
        <w:rPr>
          <w:b/>
          <w:color w:val="000000"/>
        </w:rPr>
        <w:sectPr w:rsidR="00615AAC" w:rsidSect="00253869">
          <w:pgSz w:w="12240" w:h="15840"/>
          <w:pgMar w:top="720" w:right="720" w:bottom="720" w:left="720" w:header="720" w:footer="720" w:gutter="0"/>
          <w:pgNumType w:start="1"/>
          <w:cols w:space="720"/>
          <w:noEndnote/>
          <w:titlePg/>
          <w:docGrid w:linePitch="326"/>
        </w:sect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 xml:space="preserve">The purpose of the Admissions and Continued Occupancy Policy (ACOP) is to establish polices for carrying out the programs in a manner consistent with HUD requirements and local goals and objectives contained in the Agency Plan. </w:t>
      </w:r>
      <w:r w:rsidRPr="00067D59">
        <w:rPr>
          <w:color w:val="000000"/>
        </w:rPr>
        <w:t>As well as meeting the needs of the residents.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is responsible for complying with all changes in HUD regulation pertaining to these programs. If such changes conflict with this ACOP, HUD regulations will have precedence.  HADCO will revise this ACOP as needed to comply with changes, in HUD regulations.  All significant changes or amendments that can impact and or cause financial hardship to the resident or HADCO must be made available to the public for a 45 day comment period.  Any changes must be approved by the Board of Commissioner of the agency, the pertinent sections included in the Agency Plan, and a copy provided to HUD.</w:t>
      </w:r>
    </w:p>
    <w:p w:rsidR="00305180" w:rsidRDefault="00305180"/>
    <w:p w:rsidR="00305180" w:rsidRDefault="00305180">
      <w:pPr>
        <w:pStyle w:val="Heading1"/>
        <w:rPr>
          <w:rFonts w:ascii="Times New Roman" w:hAnsi="Times New Roman"/>
          <w:sz w:val="24"/>
        </w:rPr>
      </w:pPr>
      <w:r>
        <w:rPr>
          <w:rFonts w:ascii="Times New Roman" w:hAnsi="Times New Roman"/>
          <w:sz w:val="24"/>
        </w:rPr>
        <w:t>I. Nondiscrimination</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Complying with Civil Rights Laws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Civil rights laws protect the rights of applicants and residents to equal treatment by the Housing Authority in the way it carries out its programs. It is the policy of HADCO to comply with all Civil Rights laws, including but not limited to:</w:t>
      </w:r>
    </w:p>
    <w:p w:rsidR="00305180" w:rsidRDefault="00305180">
      <w:pPr>
        <w:autoSpaceDE w:val="0"/>
        <w:autoSpaceDN w:val="0"/>
        <w:adjustRightInd w:val="0"/>
        <w:jc w:val="both"/>
        <w:rPr>
          <w:color w:val="000000"/>
        </w:rPr>
      </w:pPr>
    </w:p>
    <w:p w:rsidR="00305180" w:rsidRDefault="00305180">
      <w:pPr>
        <w:numPr>
          <w:ilvl w:val="0"/>
          <w:numId w:val="2"/>
        </w:numPr>
        <w:autoSpaceDE w:val="0"/>
        <w:autoSpaceDN w:val="0"/>
        <w:adjustRightInd w:val="0"/>
        <w:jc w:val="both"/>
        <w:rPr>
          <w:i/>
          <w:color w:val="000000"/>
        </w:rPr>
      </w:pPr>
      <w:r>
        <w:rPr>
          <w:i/>
          <w:color w:val="000000"/>
        </w:rPr>
        <w:t>Title VI of the Civil Rights Act of 1964, which forbids discrimination on the basis of race, color, religion, national origin or sex;</w:t>
      </w:r>
    </w:p>
    <w:p w:rsidR="00305180" w:rsidRDefault="00305180">
      <w:pPr>
        <w:autoSpaceDE w:val="0"/>
        <w:autoSpaceDN w:val="0"/>
        <w:adjustRightInd w:val="0"/>
        <w:ind w:left="360"/>
        <w:jc w:val="both"/>
        <w:rPr>
          <w:i/>
          <w:color w:val="000000"/>
        </w:rPr>
      </w:pPr>
    </w:p>
    <w:p w:rsidR="00305180" w:rsidRDefault="00305180">
      <w:pPr>
        <w:numPr>
          <w:ilvl w:val="0"/>
          <w:numId w:val="2"/>
        </w:numPr>
        <w:autoSpaceDE w:val="0"/>
        <w:autoSpaceDN w:val="0"/>
        <w:adjustRightInd w:val="0"/>
        <w:jc w:val="both"/>
        <w:rPr>
          <w:i/>
          <w:color w:val="000000"/>
        </w:rPr>
      </w:pPr>
      <w:r>
        <w:rPr>
          <w:i/>
          <w:color w:val="000000"/>
        </w:rPr>
        <w:t>Title VIII of the Civil Rights Act of 1968 (as amended by the 1974 HCDA and the Fair Housing Amendments Act of 1988), which extends protection against discrimination based on disability and familial status, and spell out forms of prohibited discrimination;</w:t>
      </w:r>
    </w:p>
    <w:p w:rsidR="00305180" w:rsidRDefault="00305180">
      <w:pPr>
        <w:autoSpaceDE w:val="0"/>
        <w:autoSpaceDN w:val="0"/>
        <w:adjustRightInd w:val="0"/>
        <w:ind w:left="360"/>
        <w:jc w:val="both"/>
        <w:rPr>
          <w:i/>
          <w:color w:val="000000"/>
        </w:rPr>
      </w:pPr>
    </w:p>
    <w:p w:rsidR="00305180" w:rsidRDefault="00305180">
      <w:pPr>
        <w:numPr>
          <w:ilvl w:val="0"/>
          <w:numId w:val="2"/>
        </w:numPr>
        <w:autoSpaceDE w:val="0"/>
        <w:autoSpaceDN w:val="0"/>
        <w:adjustRightInd w:val="0"/>
        <w:jc w:val="both"/>
        <w:rPr>
          <w:i/>
          <w:color w:val="000000"/>
        </w:rPr>
      </w:pPr>
      <w:r>
        <w:rPr>
          <w:i/>
          <w:color w:val="000000"/>
        </w:rPr>
        <w:t>Executive Order 11063,</w:t>
      </w:r>
    </w:p>
    <w:p w:rsidR="00305180" w:rsidRDefault="00305180">
      <w:pPr>
        <w:autoSpaceDE w:val="0"/>
        <w:autoSpaceDN w:val="0"/>
        <w:adjustRightInd w:val="0"/>
        <w:ind w:left="360"/>
        <w:jc w:val="both"/>
        <w:rPr>
          <w:i/>
          <w:color w:val="000000"/>
        </w:rPr>
      </w:pPr>
    </w:p>
    <w:p w:rsidR="00305180" w:rsidRDefault="00305180">
      <w:pPr>
        <w:numPr>
          <w:ilvl w:val="0"/>
          <w:numId w:val="2"/>
        </w:numPr>
        <w:autoSpaceDE w:val="0"/>
        <w:autoSpaceDN w:val="0"/>
        <w:adjustRightInd w:val="0"/>
        <w:jc w:val="both"/>
        <w:rPr>
          <w:i/>
          <w:color w:val="000000"/>
        </w:rPr>
      </w:pPr>
      <w:r>
        <w:rPr>
          <w:i/>
          <w:color w:val="000000"/>
        </w:rPr>
        <w:t>Section 504 of the Rehabilitation Act of 1973, which describes specific housing rights of persons with disabilities;</w:t>
      </w:r>
    </w:p>
    <w:p w:rsidR="00305180" w:rsidRDefault="00305180">
      <w:pPr>
        <w:autoSpaceDE w:val="0"/>
        <w:autoSpaceDN w:val="0"/>
        <w:adjustRightInd w:val="0"/>
        <w:jc w:val="both"/>
        <w:rPr>
          <w:i/>
          <w:color w:val="000000"/>
        </w:rPr>
      </w:pPr>
    </w:p>
    <w:p w:rsidR="00305180" w:rsidRDefault="00305180">
      <w:pPr>
        <w:numPr>
          <w:ilvl w:val="0"/>
          <w:numId w:val="2"/>
        </w:numPr>
        <w:autoSpaceDE w:val="0"/>
        <w:autoSpaceDN w:val="0"/>
        <w:adjustRightInd w:val="0"/>
        <w:jc w:val="both"/>
        <w:rPr>
          <w:i/>
          <w:color w:val="000000"/>
        </w:rPr>
      </w:pPr>
      <w:r>
        <w:rPr>
          <w:i/>
          <w:color w:val="000000"/>
        </w:rPr>
        <w:t>The Age Discrimination Act of 1975, which establishes certain rights of the elderly</w:t>
      </w:r>
    </w:p>
    <w:p w:rsidR="00305180" w:rsidRDefault="00305180">
      <w:pPr>
        <w:autoSpaceDE w:val="0"/>
        <w:autoSpaceDN w:val="0"/>
        <w:adjustRightInd w:val="0"/>
        <w:ind w:left="360"/>
        <w:jc w:val="both"/>
        <w:rPr>
          <w:i/>
          <w:color w:val="000000"/>
        </w:rPr>
      </w:pPr>
    </w:p>
    <w:p w:rsidR="00305180" w:rsidRDefault="00305180">
      <w:pPr>
        <w:numPr>
          <w:ilvl w:val="0"/>
          <w:numId w:val="2"/>
        </w:numPr>
        <w:autoSpaceDE w:val="0"/>
        <w:autoSpaceDN w:val="0"/>
        <w:adjustRightInd w:val="0"/>
        <w:jc w:val="both"/>
        <w:rPr>
          <w:i/>
          <w:color w:val="000000"/>
        </w:rPr>
      </w:pPr>
      <w:r>
        <w:rPr>
          <w:i/>
          <w:color w:val="000000"/>
        </w:rPr>
        <w:t>Title II of the Americans with Disabilities Act of 1990 (ADA) requires that HADCO provide individuals with disabilities with access to its programs, services and activities including, common areas and public spaces. However, Title II does not require that individual housing units be accessible to individuals with disabilities; rather, Section 504 and the Fair Housing Act govern access for individuals with disabilities to HADCO’s housing units.</w:t>
      </w:r>
    </w:p>
    <w:p w:rsidR="00305180" w:rsidRDefault="00305180">
      <w:pPr>
        <w:autoSpaceDE w:val="0"/>
        <w:autoSpaceDN w:val="0"/>
        <w:adjustRightInd w:val="0"/>
        <w:ind w:left="360"/>
        <w:jc w:val="both"/>
        <w:rPr>
          <w:i/>
          <w:color w:val="000000"/>
        </w:rPr>
      </w:pPr>
    </w:p>
    <w:p w:rsidR="00305180" w:rsidRDefault="00305180">
      <w:pPr>
        <w:numPr>
          <w:ilvl w:val="0"/>
          <w:numId w:val="2"/>
        </w:numPr>
        <w:autoSpaceDE w:val="0"/>
        <w:autoSpaceDN w:val="0"/>
        <w:adjustRightInd w:val="0"/>
        <w:jc w:val="both"/>
        <w:rPr>
          <w:i/>
          <w:color w:val="000000"/>
        </w:rPr>
      </w:pPr>
      <w:r>
        <w:rPr>
          <w:i/>
          <w:color w:val="000000"/>
        </w:rPr>
        <w:t>Any applicable State laws or local ordinances, and</w:t>
      </w:r>
    </w:p>
    <w:p w:rsidR="00305180" w:rsidRDefault="00305180">
      <w:pPr>
        <w:autoSpaceDE w:val="0"/>
        <w:autoSpaceDN w:val="0"/>
        <w:adjustRightInd w:val="0"/>
        <w:jc w:val="both"/>
        <w:rPr>
          <w:i/>
          <w:color w:val="000000"/>
        </w:rPr>
      </w:pPr>
    </w:p>
    <w:p w:rsidR="00305180" w:rsidRDefault="00305180">
      <w:pPr>
        <w:numPr>
          <w:ilvl w:val="0"/>
          <w:numId w:val="2"/>
        </w:numPr>
        <w:autoSpaceDE w:val="0"/>
        <w:autoSpaceDN w:val="0"/>
        <w:adjustRightInd w:val="0"/>
        <w:jc w:val="both"/>
        <w:rPr>
          <w:i/>
          <w:color w:val="000000"/>
        </w:rPr>
      </w:pPr>
      <w:r>
        <w:rPr>
          <w:i/>
          <w:color w:val="000000"/>
        </w:rPr>
        <w:t>Any legislation protecting the individual rights of tenants, applicants or staff that may subsequently be enacted.</w:t>
      </w:r>
    </w:p>
    <w:p w:rsidR="00305180" w:rsidRDefault="00305180">
      <w:pPr>
        <w:autoSpaceDE w:val="0"/>
        <w:autoSpaceDN w:val="0"/>
        <w:adjustRightInd w:val="0"/>
        <w:ind w:left="360"/>
        <w:jc w:val="both"/>
        <w:rPr>
          <w:i/>
          <w:color w:val="000000"/>
        </w:rPr>
      </w:pPr>
    </w:p>
    <w:p w:rsidR="00305180" w:rsidRDefault="00305180">
      <w:pPr>
        <w:autoSpaceDE w:val="0"/>
        <w:autoSpaceDN w:val="0"/>
        <w:adjustRightInd w:val="0"/>
        <w:jc w:val="both"/>
        <w:rPr>
          <w:color w:val="000000"/>
        </w:rPr>
      </w:pPr>
      <w:r>
        <w:rPr>
          <w:color w:val="000000"/>
        </w:rPr>
        <w:t xml:space="preserve">HADCO shall not discriminate because of race, color, national origin, sex, religion, familial status, or disability in the leasing, rental, occupancy, use, or other disposition of housing or related facilities, including </w:t>
      </w:r>
      <w:proofErr w:type="gramStart"/>
      <w:r>
        <w:rPr>
          <w:color w:val="000000"/>
        </w:rPr>
        <w:t>land, that</w:t>
      </w:r>
      <w:proofErr w:type="gramEnd"/>
      <w:r>
        <w:rPr>
          <w:color w:val="000000"/>
        </w:rPr>
        <w:t xml:space="preserve"> is part of a development under HADCO’s jurisdiction covered by the Public Housing Annual Contributions Contract with HUD.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shall not, on account of race, color, national origin, sex, religion, familial status, or disability:</w:t>
      </w:r>
    </w:p>
    <w:p w:rsidR="00305180" w:rsidRDefault="00305180">
      <w:pPr>
        <w:autoSpaceDE w:val="0"/>
        <w:autoSpaceDN w:val="0"/>
        <w:adjustRightInd w:val="0"/>
        <w:jc w:val="both"/>
        <w:rPr>
          <w:color w:val="000000"/>
        </w:rPr>
      </w:pPr>
    </w:p>
    <w:p w:rsidR="00305180" w:rsidRDefault="00305180">
      <w:pPr>
        <w:numPr>
          <w:ilvl w:val="0"/>
          <w:numId w:val="3"/>
        </w:numPr>
        <w:autoSpaceDE w:val="0"/>
        <w:autoSpaceDN w:val="0"/>
        <w:adjustRightInd w:val="0"/>
        <w:jc w:val="both"/>
        <w:rPr>
          <w:color w:val="000000"/>
        </w:rPr>
      </w:pPr>
      <w:r>
        <w:rPr>
          <w:color w:val="000000"/>
        </w:rPr>
        <w:t xml:space="preserve">Deny anyone the opportunity to apply for housing (when the waiting list is open), nor deny to any qualified applicant the opportunity to lease housing suitable to </w:t>
      </w:r>
      <w:r w:rsidRPr="00067D59">
        <w:rPr>
          <w:color w:val="000000"/>
        </w:rPr>
        <w:t>the applicants</w:t>
      </w:r>
      <w:r>
        <w:rPr>
          <w:color w:val="000000"/>
        </w:rPr>
        <w:t xml:space="preserve"> need;</w:t>
      </w:r>
    </w:p>
    <w:p w:rsidR="00305180" w:rsidRDefault="00305180">
      <w:pPr>
        <w:autoSpaceDE w:val="0"/>
        <w:autoSpaceDN w:val="0"/>
        <w:adjustRightInd w:val="0"/>
        <w:ind w:left="360"/>
        <w:jc w:val="both"/>
        <w:rPr>
          <w:color w:val="000000"/>
        </w:rPr>
      </w:pPr>
    </w:p>
    <w:p w:rsidR="00305180" w:rsidRDefault="00305180">
      <w:pPr>
        <w:numPr>
          <w:ilvl w:val="0"/>
          <w:numId w:val="3"/>
        </w:numPr>
        <w:autoSpaceDE w:val="0"/>
        <w:autoSpaceDN w:val="0"/>
        <w:adjustRightInd w:val="0"/>
        <w:jc w:val="both"/>
        <w:rPr>
          <w:color w:val="000000"/>
        </w:rPr>
      </w:pPr>
      <w:r>
        <w:rPr>
          <w:color w:val="000000"/>
        </w:rPr>
        <w:t>Provide anyone housing that is different (of lower quality) from that provided to others;</w:t>
      </w:r>
    </w:p>
    <w:p w:rsidR="00305180" w:rsidRDefault="00305180">
      <w:pPr>
        <w:autoSpaceDE w:val="0"/>
        <w:autoSpaceDN w:val="0"/>
        <w:adjustRightInd w:val="0"/>
        <w:jc w:val="both"/>
        <w:rPr>
          <w:color w:val="000000"/>
        </w:rPr>
      </w:pPr>
    </w:p>
    <w:p w:rsidR="00305180" w:rsidRDefault="00305180">
      <w:pPr>
        <w:numPr>
          <w:ilvl w:val="0"/>
          <w:numId w:val="3"/>
        </w:numPr>
        <w:autoSpaceDE w:val="0"/>
        <w:autoSpaceDN w:val="0"/>
        <w:adjustRightInd w:val="0"/>
        <w:jc w:val="both"/>
        <w:rPr>
          <w:color w:val="000000"/>
        </w:rPr>
      </w:pPr>
      <w:r>
        <w:rPr>
          <w:color w:val="000000"/>
        </w:rPr>
        <w:t>Subject anyone to segregation or disparate treatment;</w:t>
      </w:r>
    </w:p>
    <w:p w:rsidR="00305180" w:rsidRDefault="00305180">
      <w:pPr>
        <w:autoSpaceDE w:val="0"/>
        <w:autoSpaceDN w:val="0"/>
        <w:adjustRightInd w:val="0"/>
        <w:ind w:left="360"/>
        <w:jc w:val="both"/>
        <w:rPr>
          <w:color w:val="000000"/>
        </w:rPr>
      </w:pPr>
    </w:p>
    <w:p w:rsidR="00305180" w:rsidRDefault="00305180">
      <w:pPr>
        <w:numPr>
          <w:ilvl w:val="0"/>
          <w:numId w:val="3"/>
        </w:numPr>
        <w:autoSpaceDE w:val="0"/>
        <w:autoSpaceDN w:val="0"/>
        <w:adjustRightInd w:val="0"/>
        <w:jc w:val="both"/>
        <w:rPr>
          <w:color w:val="000000"/>
        </w:rPr>
      </w:pPr>
      <w:r>
        <w:rPr>
          <w:color w:val="000000"/>
        </w:rPr>
        <w:t xml:space="preserve">Restrict anyone’s access to any benefit enjoyed by others in connection with the housing program;  </w:t>
      </w:r>
    </w:p>
    <w:p w:rsidR="00305180" w:rsidRDefault="00305180">
      <w:pPr>
        <w:autoSpaceDE w:val="0"/>
        <w:autoSpaceDN w:val="0"/>
        <w:adjustRightInd w:val="0"/>
        <w:jc w:val="both"/>
        <w:rPr>
          <w:color w:val="000000"/>
        </w:rPr>
      </w:pPr>
    </w:p>
    <w:p w:rsidR="00305180" w:rsidRDefault="00305180">
      <w:pPr>
        <w:numPr>
          <w:ilvl w:val="0"/>
          <w:numId w:val="3"/>
        </w:numPr>
        <w:autoSpaceDE w:val="0"/>
        <w:autoSpaceDN w:val="0"/>
        <w:adjustRightInd w:val="0"/>
        <w:jc w:val="both"/>
        <w:rPr>
          <w:color w:val="000000"/>
        </w:rPr>
      </w:pPr>
      <w:r>
        <w:rPr>
          <w:color w:val="000000"/>
        </w:rPr>
        <w:t>Treat anyone differently in determining eligibility or other requirements for admission;</w:t>
      </w:r>
    </w:p>
    <w:p w:rsidR="00305180" w:rsidRDefault="00305180">
      <w:pPr>
        <w:autoSpaceDE w:val="0"/>
        <w:autoSpaceDN w:val="0"/>
        <w:adjustRightInd w:val="0"/>
        <w:ind w:left="360"/>
        <w:jc w:val="both"/>
        <w:rPr>
          <w:color w:val="000000"/>
        </w:rPr>
      </w:pPr>
    </w:p>
    <w:p w:rsidR="00305180" w:rsidRDefault="00305180">
      <w:pPr>
        <w:numPr>
          <w:ilvl w:val="0"/>
          <w:numId w:val="3"/>
        </w:numPr>
        <w:autoSpaceDE w:val="0"/>
        <w:autoSpaceDN w:val="0"/>
        <w:adjustRightInd w:val="0"/>
        <w:jc w:val="both"/>
        <w:rPr>
          <w:color w:val="000000"/>
        </w:rPr>
      </w:pPr>
      <w:r>
        <w:rPr>
          <w:color w:val="000000"/>
        </w:rPr>
        <w:t>Deny anyone access to the same level of services; or</w:t>
      </w:r>
    </w:p>
    <w:p w:rsidR="00305180" w:rsidRDefault="00305180">
      <w:pPr>
        <w:autoSpaceDE w:val="0"/>
        <w:autoSpaceDN w:val="0"/>
        <w:adjustRightInd w:val="0"/>
        <w:ind w:left="360"/>
        <w:jc w:val="both"/>
        <w:rPr>
          <w:color w:val="000000"/>
        </w:rPr>
      </w:pPr>
    </w:p>
    <w:p w:rsidR="00305180" w:rsidRDefault="00305180">
      <w:pPr>
        <w:numPr>
          <w:ilvl w:val="0"/>
          <w:numId w:val="3"/>
        </w:numPr>
        <w:autoSpaceDE w:val="0"/>
        <w:autoSpaceDN w:val="0"/>
        <w:adjustRightInd w:val="0"/>
        <w:jc w:val="both"/>
        <w:rPr>
          <w:color w:val="000000"/>
        </w:rPr>
      </w:pPr>
      <w:r>
        <w:rPr>
          <w:color w:val="000000"/>
        </w:rPr>
        <w:t>Deny anyone the opportunity to participate in a planning or advisory group that is an integral part of the housing program.</w:t>
      </w:r>
    </w:p>
    <w:p w:rsidR="00305180" w:rsidRDefault="00305180">
      <w:pPr>
        <w:autoSpaceDE w:val="0"/>
        <w:autoSpaceDN w:val="0"/>
        <w:adjustRightInd w:val="0"/>
        <w:ind w:left="360"/>
        <w:jc w:val="both"/>
        <w:rPr>
          <w:color w:val="000000"/>
        </w:rPr>
      </w:pPr>
    </w:p>
    <w:p w:rsidR="00305180" w:rsidRDefault="00305180">
      <w:pPr>
        <w:autoSpaceDE w:val="0"/>
        <w:autoSpaceDN w:val="0"/>
        <w:adjustRightInd w:val="0"/>
        <w:jc w:val="both"/>
        <w:rPr>
          <w:color w:val="000000"/>
        </w:rPr>
      </w:pPr>
      <w:r>
        <w:rPr>
          <w:color w:val="000000"/>
        </w:rPr>
        <w:t>HADCO shall not automatically deny admission to otherwise qualified applicants because of their membership in some group to which negative behavior may be imputed (e.g., families with children born to unmarried parents or families whose head or spouse is a student). Instead, each applicant who is a member of a particular group will be treated as an individual based on his or her attributes and behavior.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will correct situations or procedures that create a barrier to equal housing opportunity for all. To permit people with disabilities to take full advantage of HADCO’s housing program and non-housing programs, in accordance with Section 504, and the Fair Housing Amendments Act of 1988, there are requirements, optional actions and prohibitions:</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576"/>
        <w:jc w:val="both"/>
        <w:rPr>
          <w:color w:val="000000"/>
        </w:rPr>
      </w:pPr>
      <w:r>
        <w:rPr>
          <w:color w:val="000000"/>
        </w:rPr>
        <w:t xml:space="preserve">(a) HADCO </w:t>
      </w:r>
      <w:r>
        <w:rPr>
          <w:b/>
          <w:color w:val="000000"/>
        </w:rPr>
        <w:t>must</w:t>
      </w:r>
      <w:r>
        <w:rPr>
          <w:color w:val="000000"/>
        </w:rPr>
        <w:t>, upon request by an applicant or resident with a disability,</w:t>
      </w:r>
    </w:p>
    <w:p w:rsidR="00305180" w:rsidRDefault="00305180">
      <w:pPr>
        <w:autoSpaceDE w:val="0"/>
        <w:autoSpaceDN w:val="0"/>
        <w:adjustRightInd w:val="0"/>
        <w:ind w:left="864"/>
        <w:jc w:val="both"/>
        <w:rPr>
          <w:color w:val="000000"/>
        </w:rPr>
      </w:pPr>
      <w:r>
        <w:rPr>
          <w:color w:val="000000"/>
        </w:rPr>
        <w:t>• make structural modifications to its housing and non-housing facilities and</w:t>
      </w:r>
    </w:p>
    <w:p w:rsidR="00305180" w:rsidRDefault="00305180">
      <w:pPr>
        <w:autoSpaceDE w:val="0"/>
        <w:autoSpaceDN w:val="0"/>
        <w:adjustRightInd w:val="0"/>
        <w:ind w:left="864"/>
        <w:jc w:val="both"/>
        <w:rPr>
          <w:color w:val="000000"/>
        </w:rPr>
      </w:pPr>
      <w:r>
        <w:rPr>
          <w:color w:val="000000"/>
        </w:rPr>
        <w:t xml:space="preserve">• make reasonable accommodations in its procedures or practices </w:t>
      </w:r>
      <w:r>
        <w:rPr>
          <w:b/>
          <w:color w:val="000000"/>
        </w:rPr>
        <w:t xml:space="preserve">unless </w:t>
      </w:r>
      <w:r>
        <w:rPr>
          <w:color w:val="000000"/>
        </w:rPr>
        <w:t>such</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structural</w:t>
      </w:r>
      <w:proofErr w:type="gramEnd"/>
      <w:r>
        <w:rPr>
          <w:color w:val="000000"/>
        </w:rPr>
        <w:t xml:space="preserve"> modifications or reasonable accommodations</w:t>
      </w:r>
    </w:p>
    <w:p w:rsidR="00305180" w:rsidRDefault="00305180">
      <w:pPr>
        <w:autoSpaceDE w:val="0"/>
        <w:autoSpaceDN w:val="0"/>
        <w:adjustRightInd w:val="0"/>
        <w:ind w:left="864"/>
        <w:jc w:val="both"/>
        <w:rPr>
          <w:color w:val="000000"/>
        </w:rPr>
      </w:pPr>
      <w:r>
        <w:rPr>
          <w:color w:val="000000"/>
        </w:rPr>
        <w:t>• would result in an undue financial and administrative burden on the</w:t>
      </w:r>
    </w:p>
    <w:p w:rsidR="00305180" w:rsidRDefault="00305180">
      <w:pPr>
        <w:autoSpaceDE w:val="0"/>
        <w:autoSpaceDN w:val="0"/>
        <w:adjustRightInd w:val="0"/>
        <w:ind w:left="864"/>
        <w:jc w:val="both"/>
        <w:rPr>
          <w:color w:val="000000"/>
        </w:rPr>
      </w:pPr>
      <w:r>
        <w:rPr>
          <w:color w:val="000000"/>
        </w:rPr>
        <w:t xml:space="preserve">  Authority, or</w:t>
      </w:r>
    </w:p>
    <w:p w:rsidR="00305180" w:rsidRDefault="00305180">
      <w:pPr>
        <w:autoSpaceDE w:val="0"/>
        <w:autoSpaceDN w:val="0"/>
        <w:adjustRightInd w:val="0"/>
        <w:ind w:left="864"/>
        <w:jc w:val="both"/>
        <w:rPr>
          <w:color w:val="000000"/>
        </w:rPr>
      </w:pPr>
      <w:r>
        <w:rPr>
          <w:color w:val="000000"/>
        </w:rPr>
        <w:t>• would result in a fundamental alteration in the nature of the program</w:t>
      </w:r>
    </w:p>
    <w:p w:rsidR="00305180" w:rsidRDefault="00305180">
      <w:pPr>
        <w:autoSpaceDE w:val="0"/>
        <w:autoSpaceDN w:val="0"/>
        <w:adjustRightInd w:val="0"/>
        <w:jc w:val="both"/>
        <w:rPr>
          <w:color w:val="000000"/>
        </w:rPr>
      </w:pPr>
    </w:p>
    <w:p w:rsidR="00305180" w:rsidRDefault="00305180">
      <w:pPr>
        <w:autoSpaceDE w:val="0"/>
        <w:autoSpaceDN w:val="0"/>
        <w:adjustRightInd w:val="0"/>
        <w:ind w:left="576"/>
        <w:jc w:val="both"/>
        <w:rPr>
          <w:color w:val="000000"/>
        </w:rPr>
      </w:pPr>
      <w:r>
        <w:rPr>
          <w:color w:val="000000"/>
        </w:rPr>
        <w:t>(b) In making structural modifications to "Existing Housing Programs” or in</w:t>
      </w:r>
    </w:p>
    <w:p w:rsidR="00305180" w:rsidRDefault="00305180">
      <w:pPr>
        <w:autoSpaceDE w:val="0"/>
        <w:autoSpaceDN w:val="0"/>
        <w:adjustRightInd w:val="0"/>
        <w:ind w:left="576"/>
        <w:jc w:val="both"/>
        <w:rPr>
          <w:color w:val="000000"/>
        </w:rPr>
      </w:pPr>
      <w:r>
        <w:rPr>
          <w:color w:val="000000"/>
        </w:rPr>
        <w:t xml:space="preserve">     </w:t>
      </w:r>
      <w:proofErr w:type="gramStart"/>
      <w:r>
        <w:rPr>
          <w:color w:val="000000"/>
        </w:rPr>
        <w:t>carrying</w:t>
      </w:r>
      <w:proofErr w:type="gramEnd"/>
      <w:r>
        <w:rPr>
          <w:color w:val="000000"/>
        </w:rPr>
        <w:t xml:space="preserve"> out "Other Alterations" for otherwise qualified persons with</w:t>
      </w:r>
    </w:p>
    <w:p w:rsidR="00305180" w:rsidRDefault="00305180">
      <w:pPr>
        <w:autoSpaceDE w:val="0"/>
        <w:autoSpaceDN w:val="0"/>
        <w:adjustRightInd w:val="0"/>
        <w:ind w:left="576"/>
        <w:jc w:val="both"/>
        <w:rPr>
          <w:color w:val="000000"/>
        </w:rPr>
      </w:pPr>
      <w:r>
        <w:rPr>
          <w:color w:val="000000"/>
        </w:rPr>
        <w:t xml:space="preserve">     </w:t>
      </w:r>
      <w:proofErr w:type="gramStart"/>
      <w:r>
        <w:rPr>
          <w:color w:val="000000"/>
        </w:rPr>
        <w:t>disabilities</w:t>
      </w:r>
      <w:proofErr w:type="gramEnd"/>
      <w:r>
        <w:rPr>
          <w:color w:val="000000"/>
        </w:rPr>
        <w:t xml:space="preserve">, HADCO </w:t>
      </w:r>
      <w:r>
        <w:rPr>
          <w:b/>
          <w:color w:val="000000"/>
        </w:rPr>
        <w:t>may</w:t>
      </w:r>
      <w:r>
        <w:rPr>
          <w:color w:val="000000"/>
        </w:rPr>
        <w:t>, but is not require to:</w:t>
      </w:r>
    </w:p>
    <w:p w:rsidR="00305180" w:rsidRDefault="00305180">
      <w:pPr>
        <w:autoSpaceDE w:val="0"/>
        <w:autoSpaceDN w:val="0"/>
        <w:adjustRightInd w:val="0"/>
        <w:ind w:left="864"/>
        <w:jc w:val="both"/>
        <w:rPr>
          <w:color w:val="000000"/>
        </w:rPr>
      </w:pPr>
      <w:r>
        <w:rPr>
          <w:color w:val="000000"/>
        </w:rPr>
        <w:t>• Make each of its existing facilities accessible; or</w:t>
      </w:r>
    </w:p>
    <w:p w:rsidR="00305180" w:rsidRDefault="00305180">
      <w:pPr>
        <w:autoSpaceDE w:val="0"/>
        <w:autoSpaceDN w:val="0"/>
        <w:adjustRightInd w:val="0"/>
        <w:ind w:left="864"/>
        <w:jc w:val="both"/>
        <w:rPr>
          <w:color w:val="000000"/>
        </w:rPr>
      </w:pPr>
      <w:r>
        <w:rPr>
          <w:color w:val="000000"/>
        </w:rPr>
        <w:t>• make structural alterations when other methods can be demonstrated to achieve</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the</w:t>
      </w:r>
      <w:proofErr w:type="gramEnd"/>
      <w:r>
        <w:rPr>
          <w:color w:val="000000"/>
        </w:rPr>
        <w:t xml:space="preserve"> same effect;</w:t>
      </w:r>
    </w:p>
    <w:p w:rsidR="00305180" w:rsidRDefault="00305180">
      <w:pPr>
        <w:autoSpaceDE w:val="0"/>
        <w:autoSpaceDN w:val="0"/>
        <w:adjustRightInd w:val="0"/>
        <w:ind w:left="864"/>
        <w:jc w:val="both"/>
        <w:rPr>
          <w:color w:val="000000"/>
        </w:rPr>
      </w:pPr>
      <w:r>
        <w:rPr>
          <w:color w:val="000000"/>
        </w:rPr>
        <w:t>• Make structural alterations that require the removal or altering of a load</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bearing</w:t>
      </w:r>
      <w:proofErr w:type="gramEnd"/>
      <w:r>
        <w:rPr>
          <w:color w:val="000000"/>
        </w:rPr>
        <w:t xml:space="preserve"> structural member;</w:t>
      </w:r>
    </w:p>
    <w:p w:rsidR="00305180" w:rsidRDefault="00305180">
      <w:pPr>
        <w:autoSpaceDE w:val="0"/>
        <w:autoSpaceDN w:val="0"/>
        <w:adjustRightInd w:val="0"/>
        <w:ind w:left="864"/>
        <w:jc w:val="both"/>
        <w:rPr>
          <w:color w:val="000000"/>
        </w:rPr>
      </w:pPr>
      <w:r>
        <w:rPr>
          <w:color w:val="000000"/>
        </w:rPr>
        <w:t>• Provide an elevator in any multifamily housing project solely for the purpose</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of</w:t>
      </w:r>
      <w:proofErr w:type="gramEnd"/>
      <w:r>
        <w:rPr>
          <w:color w:val="000000"/>
        </w:rPr>
        <w:t xml:space="preserve"> locating accessible units above or below the grade level;</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576"/>
        <w:jc w:val="both"/>
        <w:rPr>
          <w:color w:val="000000"/>
        </w:rPr>
      </w:pPr>
      <w:r>
        <w:rPr>
          <w:color w:val="000000"/>
        </w:rPr>
        <w:t>(c) When HADCO is making "Substantial Alterations" to an existing housing</w:t>
      </w:r>
    </w:p>
    <w:p w:rsidR="00305180" w:rsidRDefault="00305180">
      <w:pPr>
        <w:autoSpaceDE w:val="0"/>
        <w:autoSpaceDN w:val="0"/>
        <w:adjustRightInd w:val="0"/>
        <w:ind w:left="576"/>
        <w:jc w:val="both"/>
        <w:rPr>
          <w:color w:val="000000"/>
        </w:rPr>
      </w:pPr>
      <w:r>
        <w:rPr>
          <w:color w:val="000000"/>
        </w:rPr>
        <w:t xml:space="preserve">      </w:t>
      </w:r>
      <w:proofErr w:type="gramStart"/>
      <w:r>
        <w:rPr>
          <w:color w:val="000000"/>
        </w:rPr>
        <w:t>facility</w:t>
      </w:r>
      <w:proofErr w:type="gramEnd"/>
      <w:r>
        <w:rPr>
          <w:color w:val="000000"/>
        </w:rPr>
        <w:t xml:space="preserve"> HADCO </w:t>
      </w:r>
      <w:r>
        <w:rPr>
          <w:b/>
          <w:color w:val="000000"/>
        </w:rPr>
        <w:t>may</w:t>
      </w:r>
      <w:r>
        <w:rPr>
          <w:color w:val="000000"/>
        </w:rPr>
        <w:t>, but is not required to:</w:t>
      </w:r>
    </w:p>
    <w:p w:rsidR="00305180" w:rsidRDefault="00305180">
      <w:pPr>
        <w:autoSpaceDE w:val="0"/>
        <w:autoSpaceDN w:val="0"/>
        <w:adjustRightInd w:val="0"/>
        <w:ind w:left="864"/>
        <w:jc w:val="both"/>
        <w:rPr>
          <w:color w:val="000000"/>
        </w:rPr>
      </w:pPr>
      <w:r>
        <w:rPr>
          <w:color w:val="000000"/>
        </w:rPr>
        <w:lastRenderedPageBreak/>
        <w:t>• Provide an elevator in any multifamily housing project solely for the purpose</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of</w:t>
      </w:r>
      <w:proofErr w:type="gramEnd"/>
      <w:r>
        <w:rPr>
          <w:color w:val="000000"/>
        </w:rPr>
        <w:t xml:space="preserve"> locating accessible units above or below the grade level;</w:t>
      </w:r>
    </w:p>
    <w:p w:rsidR="00305180" w:rsidRDefault="00305180">
      <w:pPr>
        <w:autoSpaceDE w:val="0"/>
        <w:autoSpaceDN w:val="0"/>
        <w:adjustRightInd w:val="0"/>
        <w:ind w:left="864"/>
        <w:jc w:val="both"/>
        <w:rPr>
          <w:color w:val="000000"/>
        </w:rPr>
      </w:pPr>
      <w:r>
        <w:rPr>
          <w:color w:val="000000"/>
        </w:rPr>
        <w:t>• Make structural alterations that require the removal or altering of a load</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bearing</w:t>
      </w:r>
      <w:proofErr w:type="gramEnd"/>
      <w:r>
        <w:rPr>
          <w:color w:val="000000"/>
        </w:rPr>
        <w:t xml:space="preserve"> structural member; or</w:t>
      </w:r>
    </w:p>
    <w:p w:rsidR="00305180" w:rsidRDefault="00305180">
      <w:pPr>
        <w:autoSpaceDE w:val="0"/>
        <w:autoSpaceDN w:val="0"/>
        <w:adjustRightInd w:val="0"/>
        <w:ind w:left="864"/>
        <w:jc w:val="both"/>
        <w:rPr>
          <w:color w:val="000000"/>
        </w:rPr>
      </w:pPr>
      <w:r>
        <w:rPr>
          <w:color w:val="000000"/>
        </w:rPr>
        <w:t>• Make structural alterations to meet minimum accessibility requirements where</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it</w:t>
      </w:r>
      <w:proofErr w:type="gramEnd"/>
      <w:r>
        <w:rPr>
          <w:color w:val="000000"/>
        </w:rPr>
        <w:t xml:space="preserve"> is structurally impracticable to do so.</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color w:val="000000"/>
        </w:rPr>
        <w:t>HADCO will not permit these policies to be subverted to do personal or political favors. HADCO will not offer units in an order different from that prescribed by this policy, since doing so violates the policy, federal law, and the civil rights of the other families on the waiting list</w:t>
      </w:r>
      <w:r>
        <w:rPr>
          <w:b/>
          <w:color w:val="000000"/>
        </w:rPr>
        <w:t>.</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Making Programs and Facilities Accessible to People with Disabilities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Facilities and programs used by residents will be accessible to a person in a wheelchair. Application and management offices, hearing rooms, community centers, day care centers, laundry facilities, craft and game rooms, etc. (to the extent that HADCO has such facilities) will be usable by residents with a full range of disabilities. To the extent that HADCO offers such facilities, if none is already accessible, some will be made so, subject to the undue financial and administrative burden test. Documents used by applicants and residents will be accessible for those with vision or hearing impairments</w:t>
      </w:r>
      <w:r>
        <w:rPr>
          <w:b/>
          <w:color w:val="000000"/>
        </w:rPr>
        <w:t xml:space="preserve">. </w:t>
      </w:r>
      <w:r>
        <w:rPr>
          <w:color w:val="000000"/>
        </w:rPr>
        <w:t>Also, all documents will be written simply and clearly to enable applicants and residents with learning or cognitive disabilities to understand as much as possible. Unless prohibited by local law, documents may be translated into languages other than English.</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will present examples to help applicants and residents understand eligibility, rent computation, applicant screening, reasonable accommodations, and lease compliance. In writing materials for applicants and residents, HADCO staff will be prepared to explain rules and benefits verbally, as often as may be needed, because some disabilities may affect an applicant’s ability to read or understand.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When HADCO has initial contact with the applicant, HADCO staff will ask whether the applicant requires an alternate form of communication. Examples of alternative forms of communication might include, but are not limited to: a qualified sign language interpreter provided for and paid for by HADCO; having written materials explained orally by staff either in person or by telephone; provision of written materials in large/bold font; information on audiocassette; permitting applicants to file applications by mail; and, permitting alternative sites for the receipt of applications. In addition, HADCO’s obligation to provide alternative forms of communication to persons with disabilities does not preclude an individual’s right to have a friend, relative or advocate accompany him/her for purposes of conducting business with HADCO.</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Some applicants will not be able to read (or to read English), so </w:t>
      </w:r>
      <w:proofErr w:type="gramStart"/>
      <w:r>
        <w:rPr>
          <w:color w:val="000000"/>
        </w:rPr>
        <w:t>intake</w:t>
      </w:r>
      <w:proofErr w:type="gramEnd"/>
      <w:r>
        <w:rPr>
          <w:color w:val="000000"/>
        </w:rPr>
        <w:t xml:space="preserve"> staff must be prepared to read and explain anything that they would normally hand to an applicant to be read or filled out. Applicants who read or understand little English may furnish an interpreter who can explain what is going on. HADCO will pay the costs associated with having a foreign language interpreter.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At a minimum, HADCO will prepare information to be used by applicants and residents in plain-language accessible formats.</w:t>
      </w:r>
    </w:p>
    <w:p w:rsidR="00305180" w:rsidRDefault="00305180">
      <w:pPr>
        <w:autoSpaceDE w:val="0"/>
        <w:autoSpaceDN w:val="0"/>
        <w:adjustRightInd w:val="0"/>
        <w:jc w:val="both"/>
        <w:rPr>
          <w:color w:val="000000"/>
        </w:rPr>
      </w:pPr>
    </w:p>
    <w:p w:rsidR="00305180" w:rsidRDefault="00305180">
      <w:pPr>
        <w:pStyle w:val="Heading1"/>
        <w:ind w:left="720" w:hanging="720"/>
        <w:jc w:val="both"/>
        <w:rPr>
          <w:rFonts w:ascii="Times New Roman" w:hAnsi="Times New Roman"/>
          <w:sz w:val="24"/>
        </w:rPr>
      </w:pPr>
      <w:bookmarkStart w:id="0" w:name="_Toc448291513"/>
      <w:bookmarkStart w:id="1" w:name="_Toc448292566"/>
      <w:bookmarkStart w:id="2" w:name="_Toc450967712"/>
      <w:r>
        <w:rPr>
          <w:rFonts w:ascii="Times New Roman" w:hAnsi="Times New Roman"/>
          <w:sz w:val="24"/>
        </w:rPr>
        <w:t xml:space="preserve">Services </w:t>
      </w:r>
      <w:proofErr w:type="gramStart"/>
      <w:r>
        <w:rPr>
          <w:rFonts w:ascii="Times New Roman" w:hAnsi="Times New Roman"/>
          <w:sz w:val="24"/>
        </w:rPr>
        <w:t>For</w:t>
      </w:r>
      <w:proofErr w:type="gramEnd"/>
      <w:r>
        <w:rPr>
          <w:rFonts w:ascii="Times New Roman" w:hAnsi="Times New Roman"/>
          <w:sz w:val="24"/>
        </w:rPr>
        <w:t xml:space="preserve"> Limited English Speaking </w:t>
      </w:r>
      <w:bookmarkEnd w:id="0"/>
      <w:bookmarkEnd w:id="1"/>
      <w:bookmarkEnd w:id="2"/>
      <w:r>
        <w:rPr>
          <w:rFonts w:ascii="Times New Roman" w:hAnsi="Times New Roman"/>
          <w:sz w:val="24"/>
        </w:rPr>
        <w:t>Person(s)</w:t>
      </w:r>
    </w:p>
    <w:p w:rsidR="00305180" w:rsidRDefault="00305180">
      <w:pPr>
        <w:jc w:val="both"/>
        <w:rPr>
          <w:b/>
        </w:rPr>
      </w:pPr>
    </w:p>
    <w:p w:rsidR="00305180" w:rsidRDefault="00305180">
      <w:pPr>
        <w:jc w:val="both"/>
      </w:pPr>
      <w:r>
        <w:t xml:space="preserve">HADCO will endeavor to have bilingual staff or access to people who speak languages other than English in order to assist non-English speaking families. </w:t>
      </w:r>
    </w:p>
    <w:p w:rsidR="00305180" w:rsidRDefault="00305180">
      <w:pPr>
        <w:jc w:val="both"/>
        <w:rPr>
          <w:b/>
        </w:rPr>
      </w:pPr>
      <w:r>
        <w:lastRenderedPageBreak/>
        <w:tab/>
      </w:r>
    </w:p>
    <w:p w:rsidR="00305180" w:rsidRDefault="00305180">
      <w:pPr>
        <w:pStyle w:val="Heading1"/>
        <w:jc w:val="both"/>
        <w:rPr>
          <w:rFonts w:ascii="Times New Roman" w:hAnsi="Times New Roman"/>
          <w:sz w:val="24"/>
        </w:rPr>
      </w:pPr>
      <w:bookmarkStart w:id="3" w:name="_Toc448291514"/>
      <w:bookmarkStart w:id="4" w:name="_Toc448292567"/>
      <w:bookmarkStart w:id="5" w:name="_Toc450967713"/>
      <w:r>
        <w:rPr>
          <w:rFonts w:ascii="Times New Roman" w:hAnsi="Times New Roman"/>
          <w:sz w:val="24"/>
        </w:rPr>
        <w:t>Family Outreach</w:t>
      </w:r>
      <w:bookmarkEnd w:id="3"/>
      <w:bookmarkEnd w:id="4"/>
      <w:bookmarkEnd w:id="5"/>
    </w:p>
    <w:p w:rsidR="00305180" w:rsidRDefault="00305180">
      <w:pPr>
        <w:jc w:val="both"/>
      </w:pPr>
    </w:p>
    <w:p w:rsidR="00305180" w:rsidRDefault="00305180">
      <w:pPr>
        <w:jc w:val="both"/>
      </w:pPr>
      <w:r>
        <w:t>HADCO will communicate the status of housing availability to other service providers in the community and inform them of housing eligibility factors and guidelines so they can make proper referrals for the Public Housing Program.</w:t>
      </w:r>
    </w:p>
    <w:p w:rsidR="00305180" w:rsidRDefault="00305180">
      <w:pPr>
        <w:ind w:left="720"/>
        <w:jc w:val="both"/>
      </w:pPr>
    </w:p>
    <w:p w:rsidR="00305180" w:rsidRDefault="00305180">
      <w:pPr>
        <w:pStyle w:val="Heading1"/>
        <w:jc w:val="both"/>
        <w:rPr>
          <w:rFonts w:ascii="Times New Roman" w:hAnsi="Times New Roman"/>
          <w:sz w:val="24"/>
        </w:rPr>
      </w:pPr>
      <w:bookmarkStart w:id="6" w:name="_Toc448291515"/>
      <w:bookmarkStart w:id="7" w:name="_Toc448292568"/>
      <w:bookmarkStart w:id="8" w:name="_Toc450967714"/>
      <w:r>
        <w:rPr>
          <w:rFonts w:ascii="Times New Roman" w:hAnsi="Times New Roman"/>
          <w:sz w:val="24"/>
        </w:rPr>
        <w:t>Right to Privacy</w:t>
      </w:r>
      <w:bookmarkEnd w:id="6"/>
      <w:bookmarkEnd w:id="7"/>
      <w:bookmarkEnd w:id="8"/>
    </w:p>
    <w:p w:rsidR="00305180" w:rsidRDefault="00305180">
      <w:pPr>
        <w:jc w:val="both"/>
        <w:rPr>
          <w:b/>
        </w:rPr>
      </w:pPr>
    </w:p>
    <w:p w:rsidR="00305180" w:rsidRDefault="00305180">
      <w:pPr>
        <w:jc w:val="both"/>
      </w:pPr>
      <w:r>
        <w:t>All adult members of both applicant and tenant households are required to sign HUD Form 9886, Authorization for Release of Information and Privacy Act Notice. The Authorization for Release of Information and Privacy Act Notice states how family information will be released and includes the Federal Privacy Act Statement.</w:t>
      </w:r>
    </w:p>
    <w:p w:rsidR="00305180" w:rsidRDefault="00305180">
      <w:pPr>
        <w:jc w:val="both"/>
      </w:pPr>
    </w:p>
    <w:p w:rsidR="00305180" w:rsidRDefault="00305180">
      <w:pPr>
        <w:jc w:val="both"/>
      </w:pPr>
      <w:r>
        <w:t>Any request for applicant or tenant information will not be released unless there is a signed release of information request from the applicant or tenant.</w:t>
      </w:r>
    </w:p>
    <w:p w:rsidR="00305180" w:rsidRDefault="00305180">
      <w:pPr>
        <w:jc w:val="both"/>
      </w:pPr>
    </w:p>
    <w:p w:rsidR="00305180" w:rsidRDefault="00305180">
      <w:pPr>
        <w:pStyle w:val="Heading1"/>
        <w:jc w:val="both"/>
        <w:rPr>
          <w:rFonts w:ascii="Times New Roman" w:hAnsi="Times New Roman"/>
          <w:sz w:val="24"/>
        </w:rPr>
      </w:pPr>
      <w:bookmarkStart w:id="9" w:name="_Toc448291516"/>
      <w:bookmarkStart w:id="10" w:name="_Toc448292569"/>
      <w:bookmarkStart w:id="11" w:name="_Toc450967715"/>
      <w:r>
        <w:rPr>
          <w:rFonts w:ascii="Times New Roman" w:hAnsi="Times New Roman"/>
          <w:sz w:val="24"/>
        </w:rPr>
        <w:t>Required Postings</w:t>
      </w:r>
      <w:bookmarkEnd w:id="9"/>
      <w:bookmarkEnd w:id="10"/>
      <w:bookmarkEnd w:id="11"/>
    </w:p>
    <w:p w:rsidR="00305180" w:rsidRDefault="00305180">
      <w:pPr>
        <w:jc w:val="both"/>
      </w:pPr>
    </w:p>
    <w:p w:rsidR="00305180" w:rsidRDefault="00305180">
      <w:pPr>
        <w:jc w:val="both"/>
      </w:pPr>
      <w:r>
        <w:t>In each of its offices, HADCO will post, in a conspicuous place and at a height easily read by all persons including persons with mobility disabilities, the following information:</w:t>
      </w:r>
    </w:p>
    <w:p w:rsidR="00305180" w:rsidRDefault="00305180">
      <w:pPr>
        <w:jc w:val="both"/>
      </w:pPr>
    </w:p>
    <w:p w:rsidR="00305180" w:rsidRDefault="00305180">
      <w:pPr>
        <w:ind w:left="1440" w:hanging="720"/>
        <w:jc w:val="both"/>
      </w:pPr>
      <w:r>
        <w:t>A.</w:t>
      </w:r>
      <w:r>
        <w:tab/>
        <w:t>Fair Housing Poster</w:t>
      </w:r>
    </w:p>
    <w:p w:rsidR="00305180" w:rsidRDefault="00305180">
      <w:pPr>
        <w:ind w:left="1440" w:hanging="720"/>
        <w:jc w:val="both"/>
      </w:pPr>
    </w:p>
    <w:p w:rsidR="00305180" w:rsidRDefault="00305180">
      <w:pPr>
        <w:ind w:left="1440" w:hanging="720"/>
        <w:jc w:val="both"/>
      </w:pPr>
      <w:r>
        <w:t>B</w:t>
      </w:r>
      <w:r>
        <w:tab/>
        <w:t>Equal Opportunity for Employment Poster for employees</w:t>
      </w:r>
    </w:p>
    <w:p w:rsidR="00305180" w:rsidRDefault="00305180">
      <w:pPr>
        <w:ind w:left="1440" w:hanging="720"/>
        <w:jc w:val="both"/>
      </w:pPr>
    </w:p>
    <w:p w:rsidR="00701D12" w:rsidRDefault="00305180" w:rsidP="00701D12">
      <w:pPr>
        <w:ind w:left="1440" w:hanging="720"/>
        <w:jc w:val="both"/>
      </w:pPr>
      <w:r>
        <w:t>C.        A notice public documents are available upon request</w:t>
      </w:r>
    </w:p>
    <w:p w:rsidR="00701D12" w:rsidRDefault="00701D12">
      <w:pPr>
        <w:ind w:left="1440" w:hanging="720"/>
        <w:jc w:val="both"/>
      </w:pPr>
    </w:p>
    <w:p w:rsidR="00701D12" w:rsidRDefault="00701D12">
      <w:pPr>
        <w:ind w:left="1440" w:hanging="720"/>
        <w:jc w:val="both"/>
      </w:pPr>
      <w:r>
        <w:t>D.       Any board agenda’s or board notifications of meetings or cancellations,</w:t>
      </w:r>
      <w:r w:rsidR="00955CBD">
        <w:t xml:space="preserve"> </w:t>
      </w:r>
      <w:r w:rsidR="00955CBD">
        <w:t>etc.</w:t>
      </w:r>
      <w:r w:rsidR="00955CBD">
        <w:t xml:space="preserve"> These postings will be posted as soon as the notification becomes available. </w:t>
      </w:r>
      <w:r>
        <w:t xml:space="preserve"> </w:t>
      </w:r>
    </w:p>
    <w:p w:rsidR="00305180" w:rsidRDefault="00305180">
      <w:pPr>
        <w:ind w:left="1440" w:hanging="720"/>
        <w:jc w:val="both"/>
      </w:pPr>
    </w:p>
    <w:p w:rsidR="00305180" w:rsidRDefault="00305180">
      <w:pPr>
        <w:ind w:left="1440" w:hanging="720"/>
        <w:jc w:val="both"/>
      </w:pPr>
    </w:p>
    <w:p w:rsidR="00305180" w:rsidRDefault="00305180">
      <w:pPr>
        <w:jc w:val="both"/>
      </w:pPr>
      <w:r>
        <w:t>HADCO will provide (but not limited to) at the person(s) request the following items for review;</w:t>
      </w:r>
    </w:p>
    <w:p w:rsidR="00305180" w:rsidRDefault="00305180">
      <w:pPr>
        <w:jc w:val="both"/>
      </w:pPr>
    </w:p>
    <w:p w:rsidR="00305180" w:rsidRDefault="00305180">
      <w:pPr>
        <w:ind w:left="1440" w:hanging="720"/>
        <w:jc w:val="both"/>
      </w:pPr>
      <w:r>
        <w:t>A.</w:t>
      </w:r>
      <w:r>
        <w:tab/>
        <w:t>Statement of Policies and Procedures governing Admission and Continued Occupancy</w:t>
      </w:r>
    </w:p>
    <w:p w:rsidR="00305180" w:rsidRDefault="00305180">
      <w:pPr>
        <w:ind w:left="1440" w:hanging="720"/>
        <w:jc w:val="both"/>
      </w:pPr>
    </w:p>
    <w:p w:rsidR="00305180" w:rsidRDefault="00305180">
      <w:pPr>
        <w:ind w:left="1440" w:hanging="720"/>
        <w:jc w:val="both"/>
      </w:pPr>
      <w:r>
        <w:t>B.</w:t>
      </w:r>
      <w:r>
        <w:tab/>
        <w:t>A listing of all the developments by name, address, number of units, units designed with special accommodations, address of all project offices, office hours, telephone numbers, TDD numbers, and Resident Facilities and operation hours</w:t>
      </w:r>
    </w:p>
    <w:p w:rsidR="00305180" w:rsidRDefault="00305180">
      <w:pPr>
        <w:ind w:left="1440" w:hanging="720"/>
        <w:jc w:val="both"/>
      </w:pPr>
    </w:p>
    <w:p w:rsidR="00305180" w:rsidRDefault="00305180">
      <w:pPr>
        <w:ind w:left="1440" w:hanging="720"/>
        <w:jc w:val="both"/>
      </w:pPr>
      <w:r>
        <w:t>C.</w:t>
      </w:r>
      <w:r>
        <w:tab/>
        <w:t>Income Limits for Admission</w:t>
      </w:r>
    </w:p>
    <w:p w:rsidR="00305180" w:rsidRDefault="00305180">
      <w:pPr>
        <w:ind w:left="1440" w:hanging="720"/>
        <w:jc w:val="both"/>
      </w:pPr>
    </w:p>
    <w:p w:rsidR="00305180" w:rsidRDefault="00305180">
      <w:pPr>
        <w:ind w:left="1440" w:hanging="720"/>
        <w:jc w:val="both"/>
      </w:pPr>
      <w:r>
        <w:t>D.</w:t>
      </w:r>
      <w:r>
        <w:tab/>
        <w:t>Utility Allowance Schedule</w:t>
      </w:r>
    </w:p>
    <w:p w:rsidR="00305180" w:rsidRDefault="00305180">
      <w:pPr>
        <w:ind w:left="1440" w:hanging="720"/>
        <w:jc w:val="both"/>
      </w:pPr>
    </w:p>
    <w:p w:rsidR="00305180" w:rsidRDefault="00305180">
      <w:pPr>
        <w:ind w:left="1440" w:hanging="720"/>
        <w:jc w:val="both"/>
      </w:pPr>
      <w:r>
        <w:t>E.</w:t>
      </w:r>
      <w:r>
        <w:tab/>
        <w:t>Current Schedule of Routine Maintenance Charges</w:t>
      </w:r>
    </w:p>
    <w:p w:rsidR="00305180" w:rsidRDefault="00305180">
      <w:pPr>
        <w:ind w:left="1440" w:hanging="720"/>
        <w:jc w:val="both"/>
      </w:pPr>
    </w:p>
    <w:p w:rsidR="00305180" w:rsidRDefault="00305180">
      <w:pPr>
        <w:ind w:left="1440" w:hanging="720"/>
        <w:jc w:val="both"/>
      </w:pPr>
      <w:r>
        <w:t>F.</w:t>
      </w:r>
      <w:r>
        <w:tab/>
        <w:t>Dwelling Lease</w:t>
      </w:r>
    </w:p>
    <w:p w:rsidR="00305180" w:rsidRDefault="00305180">
      <w:pPr>
        <w:ind w:left="1440" w:hanging="720"/>
        <w:jc w:val="both"/>
      </w:pPr>
    </w:p>
    <w:p w:rsidR="00305180" w:rsidRDefault="00305180">
      <w:pPr>
        <w:ind w:left="1440" w:hanging="720"/>
        <w:jc w:val="both"/>
      </w:pPr>
      <w:r>
        <w:t>G.</w:t>
      </w:r>
      <w:r>
        <w:tab/>
        <w:t>Grievance Procedure</w:t>
      </w:r>
    </w:p>
    <w:p w:rsidR="00305180" w:rsidRDefault="00305180">
      <w:pPr>
        <w:ind w:left="1440" w:hanging="720"/>
        <w:jc w:val="both"/>
      </w:pPr>
    </w:p>
    <w:p w:rsidR="00305180" w:rsidRDefault="00305180">
      <w:pPr>
        <w:ind w:left="1440" w:hanging="720"/>
        <w:jc w:val="both"/>
      </w:pPr>
      <w:r>
        <w:t>H.</w:t>
      </w:r>
      <w:r>
        <w:tab/>
        <w:t>Any current HADCO Notices</w:t>
      </w:r>
    </w:p>
    <w:p w:rsidR="00305180" w:rsidRDefault="00305180">
      <w:pPr>
        <w:jc w:val="both"/>
      </w:pPr>
    </w:p>
    <w:p w:rsidR="00305180" w:rsidRDefault="00305180">
      <w:pPr>
        <w:jc w:val="both"/>
      </w:pPr>
      <w:r>
        <w:t xml:space="preserve">Copies of requested public documents will be provided at the person(s) request at $0.25 per copy. </w:t>
      </w:r>
      <w:r w:rsidRPr="00067D59">
        <w:t>Exceptions will be made in case of a hearing, where the copies of requested documentation will be provided at no charge.</w:t>
      </w:r>
    </w:p>
    <w:p w:rsidR="00305180" w:rsidRDefault="00305180">
      <w:pPr>
        <w:jc w:val="both"/>
      </w:pPr>
    </w:p>
    <w:p w:rsidR="00305180" w:rsidRDefault="00305180">
      <w:pPr>
        <w:autoSpaceDE w:val="0"/>
        <w:autoSpaceDN w:val="0"/>
        <w:adjustRightInd w:val="0"/>
        <w:jc w:val="both"/>
        <w:rPr>
          <w:b/>
          <w:color w:val="000000"/>
          <w:u w:val="single"/>
        </w:rPr>
      </w:pPr>
      <w:r>
        <w:rPr>
          <w:b/>
          <w:color w:val="000000"/>
          <w:u w:val="single"/>
        </w:rPr>
        <w:t>Conflict of Interest</w:t>
      </w:r>
    </w:p>
    <w:p w:rsidR="00305180" w:rsidRDefault="00305180">
      <w:pPr>
        <w:autoSpaceDE w:val="0"/>
        <w:autoSpaceDN w:val="0"/>
        <w:adjustRightInd w:val="0"/>
        <w:jc w:val="both"/>
        <w:rPr>
          <w:b/>
          <w:color w:val="000000"/>
          <w:u w:val="single"/>
        </w:rPr>
      </w:pPr>
    </w:p>
    <w:p w:rsidR="00305180" w:rsidRDefault="00305180">
      <w:pPr>
        <w:pStyle w:val="BodyText3"/>
      </w:pPr>
      <w:r>
        <w:t>Neither HADCO nor any of its contractors or subcontractors may enter into any contract or arrangement in connection with the tenant-based programs in which any of the following classes of persons has any interest, direct or indirect, during tenure or for one year thereafter:</w:t>
      </w:r>
    </w:p>
    <w:p w:rsidR="00305180" w:rsidRDefault="00305180">
      <w:pPr>
        <w:pStyle w:val="BodyText3"/>
      </w:pPr>
    </w:p>
    <w:p w:rsidR="00305180" w:rsidRDefault="00305180">
      <w:pPr>
        <w:pStyle w:val="BodyText3"/>
        <w:numPr>
          <w:ilvl w:val="3"/>
          <w:numId w:val="3"/>
        </w:numPr>
      </w:pPr>
      <w:r>
        <w:t xml:space="preserve">Any present or former member or officer of HADCO; </w:t>
      </w:r>
    </w:p>
    <w:p w:rsidR="00305180" w:rsidRDefault="00305180">
      <w:pPr>
        <w:pStyle w:val="BodyText3"/>
        <w:numPr>
          <w:ilvl w:val="3"/>
          <w:numId w:val="3"/>
        </w:numPr>
      </w:pPr>
      <w:r>
        <w:t>Any employee of HADCO, or any contractor, subcontractor or agent of HADCO, who formulates policy or who influences decisions with respect to the programs;</w:t>
      </w:r>
    </w:p>
    <w:p w:rsidR="00305180" w:rsidRDefault="00305180">
      <w:pPr>
        <w:pStyle w:val="BodyText3"/>
        <w:numPr>
          <w:ilvl w:val="3"/>
          <w:numId w:val="3"/>
        </w:numPr>
      </w:pPr>
      <w:r>
        <w:t xml:space="preserve">Any public official member of a governing body, or State or local legislator, who exercises functions or responsibilities with respect to the programs; or </w:t>
      </w:r>
    </w:p>
    <w:p w:rsidR="00305180" w:rsidRDefault="00305180">
      <w:pPr>
        <w:pStyle w:val="BodyText3"/>
        <w:numPr>
          <w:ilvl w:val="3"/>
          <w:numId w:val="3"/>
        </w:numPr>
      </w:pPr>
      <w:r>
        <w:t>Any member of the Congress of the Unites States.</w:t>
      </w:r>
    </w:p>
    <w:p w:rsidR="00305180" w:rsidRDefault="00305180">
      <w:pPr>
        <w:pStyle w:val="BodyText3"/>
        <w:numPr>
          <w:ilvl w:val="3"/>
          <w:numId w:val="3"/>
        </w:numPr>
      </w:pPr>
      <w:r>
        <w:t>Any member of the classes above must disclose their interest or prospective interest to HADCO and HUD.</w:t>
      </w:r>
    </w:p>
    <w:p w:rsidR="00305180" w:rsidRDefault="00305180">
      <w:pPr>
        <w:pStyle w:val="BodyText3"/>
        <w:numPr>
          <w:ilvl w:val="3"/>
          <w:numId w:val="3"/>
        </w:numPr>
      </w:pPr>
      <w:r>
        <w:t>The conflict of interest prohibition under this section may be waived by the HUD field office for good cause.</w:t>
      </w:r>
    </w:p>
    <w:p w:rsidR="00305180" w:rsidRDefault="00305180">
      <w:pPr>
        <w:pStyle w:val="BodyText3"/>
      </w:pPr>
    </w:p>
    <w:p w:rsidR="00305180" w:rsidRDefault="00305180">
      <w:pPr>
        <w:pStyle w:val="BodyText3"/>
        <w:rPr>
          <w:b/>
        </w:rPr>
      </w:pPr>
    </w:p>
    <w:p w:rsidR="00305180" w:rsidRDefault="00305180">
      <w:pPr>
        <w:pStyle w:val="BodyText3"/>
        <w:rPr>
          <w:b/>
        </w:rPr>
      </w:pPr>
      <w:r>
        <w:rPr>
          <w:b/>
        </w:rPr>
        <w:t>Solicitation or Acceptance of Gifts</w:t>
      </w:r>
    </w:p>
    <w:p w:rsidR="00305180" w:rsidRDefault="00305180">
      <w:pPr>
        <w:pStyle w:val="BodyText3"/>
      </w:pPr>
    </w:p>
    <w:p w:rsidR="00305180" w:rsidRDefault="00305180">
      <w:pPr>
        <w:pStyle w:val="BodyText3"/>
      </w:pPr>
      <w:r>
        <w:t>Acceptance of other tips or gratitude’s for work rendered, doing business with, or for organizations or participants of HADCO is expressly forbidden</w:t>
      </w:r>
    </w:p>
    <w:p w:rsidR="00305180" w:rsidRDefault="00305180">
      <w:pPr>
        <w:pStyle w:val="BodyText3"/>
      </w:pPr>
    </w:p>
    <w:p w:rsidR="00305180" w:rsidRDefault="00305180">
      <w:pPr>
        <w:pStyle w:val="BodyText3"/>
        <w:rPr>
          <w:b/>
        </w:rPr>
      </w:pPr>
      <w:r>
        <w:rPr>
          <w:b/>
        </w:rPr>
        <w:t>Violation of Conflict of Interest</w:t>
      </w:r>
    </w:p>
    <w:p w:rsidR="00305180" w:rsidRDefault="00305180">
      <w:pPr>
        <w:pStyle w:val="BodyText3"/>
        <w:rPr>
          <w:b/>
        </w:rPr>
      </w:pPr>
    </w:p>
    <w:p w:rsidR="00305180" w:rsidRDefault="00305180">
      <w:pPr>
        <w:pStyle w:val="BodyText3"/>
      </w:pPr>
      <w:r>
        <w:t>Disciplinary remedies for violations of HADCO’s code of conduct will be processed in accordance with HADCO’s Personnel Policy.</w:t>
      </w:r>
    </w:p>
    <w:p w:rsidR="00305180" w:rsidRDefault="00305180">
      <w:pPr>
        <w:pStyle w:val="BodyText3"/>
      </w:pPr>
    </w:p>
    <w:p w:rsidR="00305180" w:rsidRDefault="00305180">
      <w:pPr>
        <w:pStyle w:val="BodyText3"/>
        <w:ind w:left="2520"/>
      </w:pPr>
    </w:p>
    <w:p w:rsidR="00305180" w:rsidRDefault="00305180">
      <w:pPr>
        <w:pStyle w:val="BodyText3"/>
        <w:rPr>
          <w:b/>
          <w:u w:val="single"/>
        </w:rPr>
      </w:pPr>
      <w:r>
        <w:rPr>
          <w:b/>
          <w:u w:val="single"/>
        </w:rPr>
        <w:t xml:space="preserve">Violence </w:t>
      </w:r>
      <w:proofErr w:type="gramStart"/>
      <w:r>
        <w:rPr>
          <w:b/>
          <w:u w:val="single"/>
        </w:rPr>
        <w:t>Against</w:t>
      </w:r>
      <w:proofErr w:type="gramEnd"/>
      <w:r>
        <w:rPr>
          <w:b/>
          <w:u w:val="single"/>
        </w:rPr>
        <w:t xml:space="preserve"> Women and Department of Justice Reauthorization Act of 2005</w:t>
      </w:r>
    </w:p>
    <w:p w:rsidR="00305180" w:rsidRDefault="00305180">
      <w:pPr>
        <w:pStyle w:val="BodyText3"/>
      </w:pPr>
    </w:p>
    <w:p w:rsidR="00305180" w:rsidRDefault="00305180">
      <w:pPr>
        <w:pStyle w:val="BodyText3"/>
        <w:ind w:firstLine="720"/>
      </w:pPr>
      <w:r>
        <w:t>Definitions</w:t>
      </w:r>
    </w:p>
    <w:p w:rsidR="00305180" w:rsidRDefault="00305180">
      <w:pPr>
        <w:autoSpaceDE w:val="0"/>
        <w:autoSpaceDN w:val="0"/>
        <w:adjustRightInd w:val="0"/>
        <w:jc w:val="both"/>
        <w:rPr>
          <w:color w:val="000000"/>
        </w:rPr>
      </w:pPr>
      <w:r>
        <w:rPr>
          <w:color w:val="000000"/>
        </w:rPr>
        <w:tab/>
      </w:r>
      <w:r>
        <w:rPr>
          <w:color w:val="000000"/>
        </w:rPr>
        <w:tab/>
        <w:t>HADCO will use the applicable definitions set forth in Public Law 109-162 Section 3 “Universal</w:t>
      </w:r>
    </w:p>
    <w:p w:rsidR="00305180" w:rsidRDefault="00305180">
      <w:pPr>
        <w:autoSpaceDE w:val="0"/>
        <w:autoSpaceDN w:val="0"/>
        <w:adjustRightInd w:val="0"/>
        <w:jc w:val="both"/>
        <w:rPr>
          <w:color w:val="000000"/>
        </w:rPr>
      </w:pPr>
      <w:r>
        <w:rPr>
          <w:color w:val="000000"/>
        </w:rPr>
        <w:t xml:space="preserve">                        </w:t>
      </w:r>
      <w:proofErr w:type="gramStart"/>
      <w:r>
        <w:rPr>
          <w:color w:val="000000"/>
        </w:rPr>
        <w:t>Definitions and Grant Provisions”.</w:t>
      </w:r>
      <w:proofErr w:type="gramEnd"/>
    </w:p>
    <w:p w:rsidR="00305180" w:rsidRDefault="00305180">
      <w:pPr>
        <w:autoSpaceDE w:val="0"/>
        <w:autoSpaceDN w:val="0"/>
        <w:adjustRightInd w:val="0"/>
        <w:jc w:val="both"/>
        <w:rPr>
          <w:color w:val="000000"/>
          <w:u w:val="single"/>
        </w:rPr>
      </w:pPr>
      <w:r>
        <w:rPr>
          <w:color w:val="000000"/>
        </w:rPr>
        <w:tab/>
      </w:r>
      <w:r>
        <w:rPr>
          <w:color w:val="000000"/>
          <w:u w:val="single"/>
        </w:rPr>
        <w:t>Purpose</w:t>
      </w:r>
    </w:p>
    <w:p w:rsidR="00305180" w:rsidRDefault="00305180">
      <w:pPr>
        <w:autoSpaceDE w:val="0"/>
        <w:autoSpaceDN w:val="0"/>
        <w:adjustRightInd w:val="0"/>
        <w:ind w:left="1440"/>
        <w:jc w:val="both"/>
        <w:rPr>
          <w:color w:val="000000"/>
        </w:rPr>
      </w:pPr>
      <w:r>
        <w:rPr>
          <w:color w:val="000000"/>
        </w:rPr>
        <w:t xml:space="preserve">HADCO will not deny admission to any applicant or terminate assistance to any participant on the basis the applicant/participant is or has been the victim of domestic violence, dating violence, or stalking if the applicant otherwise qualifies for assistance or admission. HADCO will follow all guidelines set forth in </w:t>
      </w:r>
      <w:proofErr w:type="spellStart"/>
      <w:r>
        <w:rPr>
          <w:color w:val="000000"/>
        </w:rPr>
        <w:t>in</w:t>
      </w:r>
      <w:proofErr w:type="spellEnd"/>
      <w:r>
        <w:rPr>
          <w:color w:val="000000"/>
        </w:rPr>
        <w:t xml:space="preserve"> the Violence against Women and Department of Justi</w:t>
      </w:r>
      <w:r w:rsidR="00003CF1">
        <w:rPr>
          <w:color w:val="000000"/>
        </w:rPr>
        <w:t>c</w:t>
      </w:r>
      <w:r>
        <w:rPr>
          <w:color w:val="000000"/>
        </w:rPr>
        <w:t>e Reauthorization Act of 2005.</w:t>
      </w:r>
    </w:p>
    <w:p w:rsidR="00305180" w:rsidRDefault="00305180">
      <w:pPr>
        <w:autoSpaceDE w:val="0"/>
        <w:autoSpaceDN w:val="0"/>
        <w:adjustRightInd w:val="0"/>
        <w:jc w:val="both"/>
        <w:rPr>
          <w:color w:val="000000"/>
          <w:u w:val="single"/>
        </w:rPr>
      </w:pPr>
      <w:r>
        <w:rPr>
          <w:color w:val="000000"/>
        </w:rPr>
        <w:tab/>
      </w:r>
      <w:r>
        <w:rPr>
          <w:color w:val="000000"/>
          <w:u w:val="single"/>
        </w:rPr>
        <w:t>Verification</w:t>
      </w:r>
    </w:p>
    <w:p w:rsidR="00305180" w:rsidRDefault="00305180">
      <w:pPr>
        <w:autoSpaceDE w:val="0"/>
        <w:autoSpaceDN w:val="0"/>
        <w:adjustRightInd w:val="0"/>
        <w:ind w:left="1440"/>
        <w:jc w:val="both"/>
        <w:rPr>
          <w:color w:val="000000"/>
        </w:rPr>
      </w:pPr>
      <w:r>
        <w:rPr>
          <w:color w:val="000000"/>
        </w:rPr>
        <w:t xml:space="preserve">HADCO will require an individual to certify via a HUD approved certification form that the individual is a victim of domestic violence, dating violence, or stalking and that the incident(s) in question are bona fide incidents of such actual or threatened abuse and meet the requirements set forth in the Public Law 109-162, Section 607 “Amendments to the Public Housing Program”. The Individual shall provide the requested verification within fourteen business days after </w:t>
      </w:r>
      <w:r>
        <w:rPr>
          <w:color w:val="000000"/>
        </w:rPr>
        <w:lastRenderedPageBreak/>
        <w:t xml:space="preserve">HADCO’s request for such certification. HADCO may extend the fourteen day deadline at </w:t>
      </w:r>
      <w:proofErr w:type="spellStart"/>
      <w:proofErr w:type="gramStart"/>
      <w:r>
        <w:rPr>
          <w:color w:val="000000"/>
        </w:rPr>
        <w:t>it’s</w:t>
      </w:r>
      <w:proofErr w:type="spellEnd"/>
      <w:proofErr w:type="gramEnd"/>
      <w:r>
        <w:rPr>
          <w:color w:val="000000"/>
        </w:rPr>
        <w:t xml:space="preserve"> discretion.  HADCO may choose to provide benefits to an individual based solely on the individual’s statement or other corroborated evidence.</w:t>
      </w:r>
    </w:p>
    <w:p w:rsidR="00305180" w:rsidRDefault="00305180">
      <w:pPr>
        <w:autoSpaceDE w:val="0"/>
        <w:autoSpaceDN w:val="0"/>
        <w:adjustRightInd w:val="0"/>
        <w:jc w:val="both"/>
        <w:rPr>
          <w:color w:val="000000"/>
          <w:u w:val="single"/>
        </w:rPr>
      </w:pPr>
      <w:r>
        <w:rPr>
          <w:color w:val="000000"/>
        </w:rPr>
        <w:tab/>
      </w:r>
      <w:r>
        <w:rPr>
          <w:color w:val="000000"/>
          <w:u w:val="single"/>
        </w:rPr>
        <w:t>Confidentiality</w:t>
      </w:r>
    </w:p>
    <w:p w:rsidR="00305180" w:rsidRDefault="00305180">
      <w:pPr>
        <w:autoSpaceDE w:val="0"/>
        <w:autoSpaceDN w:val="0"/>
        <w:adjustRightInd w:val="0"/>
        <w:ind w:left="1440"/>
        <w:jc w:val="both"/>
        <w:rPr>
          <w:color w:val="000000"/>
        </w:rPr>
      </w:pPr>
      <w:r>
        <w:rPr>
          <w:color w:val="000000"/>
        </w:rPr>
        <w:t>HADCO shall retain all information provided to HADCO regarding any domestic violence in confidence. No information will be provided to any individual or agency without a written consent from the victim.</w:t>
      </w:r>
    </w:p>
    <w:p w:rsidR="00305180" w:rsidRDefault="00305180">
      <w:pPr>
        <w:autoSpaceDE w:val="0"/>
        <w:autoSpaceDN w:val="0"/>
        <w:adjustRightInd w:val="0"/>
        <w:jc w:val="both"/>
        <w:rPr>
          <w:color w:val="000000"/>
          <w:u w:val="single"/>
        </w:rPr>
      </w:pPr>
      <w:r>
        <w:rPr>
          <w:color w:val="000000"/>
        </w:rPr>
        <w:tab/>
      </w:r>
      <w:r>
        <w:rPr>
          <w:color w:val="000000"/>
          <w:u w:val="single"/>
        </w:rPr>
        <w:t>Notification</w:t>
      </w:r>
    </w:p>
    <w:p w:rsidR="00305180" w:rsidRDefault="00305180">
      <w:pPr>
        <w:autoSpaceDE w:val="0"/>
        <w:autoSpaceDN w:val="0"/>
        <w:adjustRightInd w:val="0"/>
        <w:jc w:val="both"/>
        <w:rPr>
          <w:color w:val="000000"/>
        </w:rPr>
      </w:pPr>
      <w:r>
        <w:rPr>
          <w:color w:val="000000"/>
        </w:rPr>
        <w:tab/>
      </w:r>
      <w:r>
        <w:rPr>
          <w:color w:val="000000"/>
        </w:rPr>
        <w:tab/>
        <w:t>HADCO will inform all applicants and participants of their rights under this subsection.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
    <w:p w:rsidR="00305180" w:rsidRDefault="00305180">
      <w:pPr>
        <w:autoSpaceDE w:val="0"/>
        <w:autoSpaceDN w:val="0"/>
        <w:adjustRightInd w:val="0"/>
        <w:ind w:left="1440" w:firstLine="720"/>
        <w:rPr>
          <w:b/>
          <w:color w:val="000000"/>
        </w:rPr>
      </w:pPr>
      <w:r>
        <w:rPr>
          <w:b/>
          <w:color w:val="000000"/>
        </w:rPr>
        <w:t>II. Eligibility for Admission and Processing of Applications</w:t>
      </w:r>
    </w:p>
    <w:p w:rsidR="00305180" w:rsidRDefault="00305180">
      <w:pPr>
        <w:autoSpaceDE w:val="0"/>
        <w:autoSpaceDN w:val="0"/>
        <w:adjustRightInd w:val="0"/>
        <w:jc w:val="both"/>
        <w:rPr>
          <w:b/>
          <w:color w:val="000000"/>
        </w:rPr>
      </w:pPr>
    </w:p>
    <w:p w:rsidR="00305180" w:rsidRDefault="00305180">
      <w:pPr>
        <w:pStyle w:val="Heading4"/>
        <w:numPr>
          <w:ilvl w:val="0"/>
          <w:numId w:val="0"/>
        </w:numPr>
        <w:rPr>
          <w:sz w:val="24"/>
        </w:rPr>
      </w:pPr>
      <w:r>
        <w:rPr>
          <w:sz w:val="24"/>
        </w:rPr>
        <w:t>Affirmative Marketing</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HADCO will conduct affirmative marketing as needed so the waiting list includes a mix of applicants with races, ethnic backgrounds, ages and disabilities proportionate to the mix of those groups in the eligible population of the area. The marketing plan will take into consideration the number and distribution of vacant units, units that can be expected to become vacant because of move-outs, and characteristics of families on the waiting list. HADCO will review these factors regularly to determine the need for and scope of marketing efforts. All marketing efforts will include outreach to those least likely to apply.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Marketing and informational materials will:</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(a) Comply with Fair Housing Act requirements on wording, logo, size, type, etc</w:t>
      </w:r>
      <w:proofErr w:type="gramStart"/>
      <w:r>
        <w:rPr>
          <w:color w:val="000000"/>
        </w:rPr>
        <w:t>.;</w:t>
      </w:r>
      <w:proofErr w:type="gramEnd"/>
    </w:p>
    <w:p w:rsidR="00305180" w:rsidRDefault="00305180">
      <w:pPr>
        <w:autoSpaceDE w:val="0"/>
        <w:autoSpaceDN w:val="0"/>
        <w:adjustRightInd w:val="0"/>
        <w:ind w:left="864"/>
        <w:jc w:val="both"/>
        <w:rPr>
          <w:color w:val="000000"/>
        </w:rPr>
      </w:pPr>
      <w:r>
        <w:rPr>
          <w:color w:val="000000"/>
        </w:rPr>
        <w:t xml:space="preserve">(b) Describe the housing units, application process, </w:t>
      </w:r>
      <w:proofErr w:type="gramStart"/>
      <w:r>
        <w:rPr>
          <w:color w:val="000000"/>
        </w:rPr>
        <w:t>waiting</w:t>
      </w:r>
      <w:proofErr w:type="gramEnd"/>
      <w:r>
        <w:rPr>
          <w:color w:val="000000"/>
        </w:rPr>
        <w:t xml:space="preserve"> list and preference structure accurately;</w:t>
      </w:r>
    </w:p>
    <w:p w:rsidR="00305180" w:rsidRDefault="00305180">
      <w:pPr>
        <w:autoSpaceDE w:val="0"/>
        <w:autoSpaceDN w:val="0"/>
        <w:adjustRightInd w:val="0"/>
        <w:ind w:left="864"/>
        <w:jc w:val="both"/>
        <w:rPr>
          <w:color w:val="000000"/>
        </w:rPr>
      </w:pPr>
      <w:r>
        <w:rPr>
          <w:color w:val="000000"/>
        </w:rPr>
        <w:t>(c) Use clear and easy to understand terms and more than strictly English-language print media;</w:t>
      </w:r>
    </w:p>
    <w:p w:rsidR="00305180" w:rsidRDefault="00305180">
      <w:pPr>
        <w:autoSpaceDE w:val="0"/>
        <w:autoSpaceDN w:val="0"/>
        <w:adjustRightInd w:val="0"/>
        <w:ind w:left="864"/>
        <w:jc w:val="both"/>
        <w:rPr>
          <w:color w:val="000000"/>
        </w:rPr>
      </w:pPr>
      <w:r>
        <w:rPr>
          <w:color w:val="000000"/>
        </w:rPr>
        <w:t>(d) Contact agencies that serve potentially qualified applicants least likely to apply (e.g. the disabled) to ensure that accessible/adaptable units are offered to applicants who need their features;</w:t>
      </w:r>
    </w:p>
    <w:p w:rsidR="00305180" w:rsidRDefault="00305180">
      <w:pPr>
        <w:autoSpaceDE w:val="0"/>
        <w:autoSpaceDN w:val="0"/>
        <w:adjustRightInd w:val="0"/>
        <w:ind w:left="864"/>
        <w:jc w:val="both"/>
        <w:rPr>
          <w:color w:val="000000"/>
        </w:rPr>
      </w:pPr>
      <w:r>
        <w:rPr>
          <w:color w:val="000000"/>
        </w:rPr>
        <w:t>(e) Make clear who is eligible: low income individuals and families; working and nonworking people; and people with both physical and mental disabilities; and</w:t>
      </w:r>
    </w:p>
    <w:p w:rsidR="00305180" w:rsidRDefault="00305180">
      <w:pPr>
        <w:autoSpaceDE w:val="0"/>
        <w:autoSpaceDN w:val="0"/>
        <w:adjustRightInd w:val="0"/>
        <w:ind w:left="864"/>
        <w:jc w:val="both"/>
        <w:rPr>
          <w:color w:val="000000"/>
        </w:rPr>
      </w:pPr>
      <w:r>
        <w:rPr>
          <w:color w:val="000000"/>
        </w:rPr>
        <w:t>(f) Be clear about HADCO's responsibility to provide reasonable accommodations to people with disabilities.</w:t>
      </w:r>
    </w:p>
    <w:p w:rsidR="00305180" w:rsidRDefault="00305180">
      <w:pPr>
        <w:autoSpaceDE w:val="0"/>
        <w:autoSpaceDN w:val="0"/>
        <w:adjustRightInd w:val="0"/>
        <w:ind w:left="864"/>
        <w:jc w:val="both"/>
        <w:rPr>
          <w:color w:val="000000"/>
        </w:rPr>
      </w:pPr>
    </w:p>
    <w:p w:rsidR="00305180" w:rsidRDefault="00305180">
      <w:pPr>
        <w:pStyle w:val="Heading2"/>
        <w:jc w:val="both"/>
        <w:rPr>
          <w:rFonts w:ascii="Times New Roman" w:hAnsi="Times New Roman"/>
          <w:sz w:val="24"/>
          <w:u w:val="none"/>
        </w:rPr>
      </w:pPr>
      <w:proofErr w:type="spellStart"/>
      <w:r>
        <w:rPr>
          <w:rFonts w:ascii="Times New Roman" w:hAnsi="Times New Roman"/>
          <w:sz w:val="24"/>
          <w:u w:val="none"/>
        </w:rPr>
        <w:t>Deconcentration</w:t>
      </w:r>
      <w:proofErr w:type="spellEnd"/>
      <w:r>
        <w:rPr>
          <w:rFonts w:ascii="Times New Roman" w:hAnsi="Times New Roman"/>
          <w:sz w:val="24"/>
          <w:u w:val="none"/>
        </w:rPr>
        <w:t xml:space="preserve"> Policy (CFR 903.7)</w:t>
      </w:r>
    </w:p>
    <w:p w:rsidR="00305180" w:rsidRDefault="00305180">
      <w:pPr>
        <w:jc w:val="both"/>
      </w:pPr>
    </w:p>
    <w:p w:rsidR="00305180" w:rsidRDefault="00305180">
      <w:pPr>
        <w:jc w:val="both"/>
      </w:pPr>
      <w:r>
        <w:t xml:space="preserve">It is HADCO’s policy to provide for </w:t>
      </w:r>
      <w:proofErr w:type="spellStart"/>
      <w:r>
        <w:t>deconcentration</w:t>
      </w:r>
      <w:proofErr w:type="spellEnd"/>
      <w:r>
        <w:t xml:space="preserve"> of poverty and encourage income mixing by bringing higher income families into lower income developments and lower income families into higher income developments. To achieve </w:t>
      </w:r>
      <w:proofErr w:type="spellStart"/>
      <w:r>
        <w:t>deconcentration</w:t>
      </w:r>
      <w:proofErr w:type="spellEnd"/>
      <w:r>
        <w:t xml:space="preserve"> HADCO will skip families on the waiting list to reach other families with a lower or higher income. We will accomplish this in a uniform and non-discriminating manner.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Qualifying for Admission</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 xml:space="preserve">It is HADCO’s policy to admit </w:t>
      </w:r>
      <w:r>
        <w:rPr>
          <w:b/>
          <w:color w:val="000000"/>
        </w:rPr>
        <w:t xml:space="preserve">only </w:t>
      </w:r>
      <w:r>
        <w:rPr>
          <w:color w:val="000000"/>
        </w:rPr>
        <w:t>qualified applicants.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An applicant is qualified if he or she meets all of the following criteria:</w:t>
      </w:r>
    </w:p>
    <w:p w:rsidR="00305180" w:rsidRDefault="00305180">
      <w:pPr>
        <w:autoSpaceDE w:val="0"/>
        <w:autoSpaceDN w:val="0"/>
        <w:adjustRightInd w:val="0"/>
        <w:jc w:val="both"/>
        <w:rPr>
          <w:color w:val="000000"/>
        </w:rPr>
      </w:pPr>
    </w:p>
    <w:p w:rsidR="00305180" w:rsidRDefault="00305180">
      <w:pPr>
        <w:numPr>
          <w:ilvl w:val="0"/>
          <w:numId w:val="28"/>
        </w:numPr>
        <w:autoSpaceDE w:val="0"/>
        <w:autoSpaceDN w:val="0"/>
        <w:adjustRightInd w:val="0"/>
        <w:jc w:val="both"/>
        <w:rPr>
          <w:color w:val="000000"/>
        </w:rPr>
      </w:pPr>
      <w:r>
        <w:rPr>
          <w:color w:val="000000"/>
        </w:rPr>
        <w:t>Is a family, as defined in CFR 5.100;</w:t>
      </w:r>
    </w:p>
    <w:p w:rsidR="00305180" w:rsidRDefault="00305180">
      <w:pPr>
        <w:numPr>
          <w:ilvl w:val="0"/>
          <w:numId w:val="28"/>
        </w:numPr>
        <w:autoSpaceDE w:val="0"/>
        <w:autoSpaceDN w:val="0"/>
        <w:adjustRightInd w:val="0"/>
        <w:jc w:val="both"/>
        <w:rPr>
          <w:color w:val="000000"/>
        </w:rPr>
      </w:pPr>
      <w:r>
        <w:rPr>
          <w:color w:val="000000"/>
        </w:rPr>
        <w:t>Can enter into a contract for the necessities of a dwelling unit and for utility services per ORS 109.697.</w:t>
      </w:r>
    </w:p>
    <w:p w:rsidR="00305180" w:rsidRDefault="00305180">
      <w:pPr>
        <w:autoSpaceDE w:val="0"/>
        <w:autoSpaceDN w:val="0"/>
        <w:adjustRightInd w:val="0"/>
        <w:ind w:left="864"/>
        <w:jc w:val="both"/>
        <w:rPr>
          <w:color w:val="000000"/>
        </w:rPr>
      </w:pPr>
      <w:r>
        <w:rPr>
          <w:color w:val="000000"/>
        </w:rPr>
        <w:lastRenderedPageBreak/>
        <w:t>(b) Meets HUD requirements on citizenship or immigration status;</w:t>
      </w:r>
    </w:p>
    <w:p w:rsidR="00305180" w:rsidRDefault="00305180">
      <w:pPr>
        <w:autoSpaceDE w:val="0"/>
        <w:autoSpaceDN w:val="0"/>
        <w:adjustRightInd w:val="0"/>
        <w:ind w:left="864"/>
        <w:jc w:val="both"/>
        <w:rPr>
          <w:color w:val="000000"/>
        </w:rPr>
      </w:pPr>
      <w:r>
        <w:rPr>
          <w:color w:val="000000"/>
        </w:rPr>
        <w:t>(c) Has an Annual Income (as defined in Section XII of this document) at the time of admission that does not exceed the income limits (maximum incomes by family size established by HUD) posted in HADCO offices.</w:t>
      </w:r>
    </w:p>
    <w:p w:rsidR="00305180" w:rsidRDefault="00305180">
      <w:pPr>
        <w:autoSpaceDE w:val="0"/>
        <w:autoSpaceDN w:val="0"/>
        <w:adjustRightInd w:val="0"/>
        <w:ind w:left="864"/>
        <w:jc w:val="both"/>
        <w:rPr>
          <w:color w:val="000000"/>
        </w:rPr>
      </w:pPr>
      <w:r>
        <w:rPr>
          <w:color w:val="000000"/>
        </w:rPr>
        <w:t>(d) Provides documentation of Social Security numbers for all family members and</w:t>
      </w:r>
    </w:p>
    <w:p w:rsidR="00305180" w:rsidRDefault="00305180">
      <w:pPr>
        <w:autoSpaceDE w:val="0"/>
        <w:autoSpaceDN w:val="0"/>
        <w:adjustRightInd w:val="0"/>
        <w:ind w:left="864"/>
        <w:jc w:val="both"/>
        <w:rPr>
          <w:color w:val="000000"/>
        </w:rPr>
      </w:pPr>
      <w:r>
        <w:rPr>
          <w:color w:val="000000"/>
        </w:rPr>
        <w:t>(</w:t>
      </w:r>
      <w:proofErr w:type="gramStart"/>
      <w:r>
        <w:rPr>
          <w:color w:val="000000"/>
        </w:rPr>
        <w:t>e</w:t>
      </w:r>
      <w:proofErr w:type="gramEnd"/>
      <w:r>
        <w:rPr>
          <w:color w:val="000000"/>
        </w:rPr>
        <w:t>) Meets the Applicant Selection Criteria in Section II of these policies, including completing a HADCO-approved pre-occupancy orientation session if requested;.</w:t>
      </w:r>
    </w:p>
    <w:p w:rsidR="00305180" w:rsidRDefault="00305180">
      <w:pPr>
        <w:autoSpaceDE w:val="0"/>
        <w:autoSpaceDN w:val="0"/>
        <w:adjustRightInd w:val="0"/>
        <w:ind w:left="864"/>
        <w:jc w:val="both"/>
        <w:rPr>
          <w:color w:val="000000"/>
        </w:rPr>
      </w:pPr>
    </w:p>
    <w:p w:rsidR="00305180" w:rsidRDefault="00305180">
      <w:pPr>
        <w:pStyle w:val="Heading3"/>
        <w:rPr>
          <w:rFonts w:ascii="Times New Roman" w:hAnsi="Times New Roman"/>
          <w:sz w:val="24"/>
        </w:rPr>
      </w:pPr>
      <w:r>
        <w:rPr>
          <w:rFonts w:ascii="Times New Roman" w:hAnsi="Times New Roman"/>
          <w:sz w:val="24"/>
        </w:rPr>
        <w:t>Establishing and Maintaining the Waiting List</w:t>
      </w:r>
    </w:p>
    <w:p w:rsidR="00305180" w:rsidRDefault="00305180">
      <w:pPr>
        <w:jc w:val="both"/>
      </w:pPr>
    </w:p>
    <w:p w:rsidR="00305180" w:rsidRDefault="00305180">
      <w:pPr>
        <w:autoSpaceDE w:val="0"/>
        <w:autoSpaceDN w:val="0"/>
        <w:adjustRightInd w:val="0"/>
        <w:jc w:val="both"/>
        <w:rPr>
          <w:color w:val="000000"/>
        </w:rPr>
      </w:pPr>
      <w:r>
        <w:rPr>
          <w:color w:val="000000"/>
        </w:rPr>
        <w:t>It is the policy of HADCO to administer its waiting list as required by HUD's regulations.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Opening and Closing Waiting Lists</w:t>
      </w:r>
    </w:p>
    <w:p w:rsidR="00305180" w:rsidRDefault="00305180">
      <w:pPr>
        <w:autoSpaceDE w:val="0"/>
        <w:autoSpaceDN w:val="0"/>
        <w:adjustRightInd w:val="0"/>
        <w:ind w:left="864"/>
        <w:jc w:val="both"/>
        <w:rPr>
          <w:color w:val="000000"/>
        </w:rPr>
      </w:pPr>
      <w:r>
        <w:rPr>
          <w:color w:val="000000"/>
        </w:rPr>
        <w:t>(a) For any unit size or type, if HADCO’s waiting list has sufficient applications to fill anticipated vacancies for the coming 12 months, HADCO may elect to: (a) close the waiting list completely; (b) close the list during certain times of the year; or (c) restrict intake by preference, type of project, or by size and type of dwelling.</w:t>
      </w:r>
    </w:p>
    <w:p w:rsidR="00305180" w:rsidRDefault="00305180">
      <w:pPr>
        <w:autoSpaceDE w:val="0"/>
        <w:autoSpaceDN w:val="0"/>
        <w:adjustRightInd w:val="0"/>
        <w:ind w:left="864"/>
        <w:jc w:val="both"/>
        <w:rPr>
          <w:color w:val="000000"/>
        </w:rPr>
      </w:pPr>
      <w:r>
        <w:rPr>
          <w:color w:val="000000"/>
        </w:rPr>
        <w:t>(b) A decision to close the waiting list will consider the number of applications for each size and type of unit, the number of applicants who qualify for a preference, and the ability of HADCO to house applicants in twelve to eighteen months. Decisions to close waiting lists, restrict intake, or open waiting lists will be publicly announced.</w:t>
      </w:r>
    </w:p>
    <w:p w:rsidR="00305180" w:rsidRDefault="00305180">
      <w:pPr>
        <w:autoSpaceDE w:val="0"/>
        <w:autoSpaceDN w:val="0"/>
        <w:adjustRightInd w:val="0"/>
        <w:ind w:left="864"/>
        <w:jc w:val="both"/>
        <w:rPr>
          <w:color w:val="000000"/>
        </w:rPr>
      </w:pPr>
      <w:r>
        <w:rPr>
          <w:color w:val="000000"/>
        </w:rPr>
        <w:t>(c) When the waiting list is closed, HADCO will not maintain a list of individuals who wish to be notified when the waiting list is re-opened.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Determining if the Waiting List may be closed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HADCO will use its </w:t>
      </w:r>
      <w:r>
        <w:rPr>
          <w:b/>
          <w:color w:val="000000"/>
        </w:rPr>
        <w:t>Procedure on Opening and Closing the Waiting List</w:t>
      </w:r>
      <w:r>
        <w:rPr>
          <w:color w:val="000000"/>
        </w:rPr>
        <w:t xml:space="preserve"> to determine whether the waiting list(s) should be closed.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Updating the Waiting List</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rPr>
        <w:t xml:space="preserve">(a) Once each year HADCO will update each waiting list </w:t>
      </w:r>
      <w:proofErr w:type="spellStart"/>
      <w:r>
        <w:rPr>
          <w:color w:val="000000"/>
        </w:rPr>
        <w:t>sublist</w:t>
      </w:r>
      <w:proofErr w:type="spellEnd"/>
      <w:r>
        <w:rPr>
          <w:color w:val="000000"/>
        </w:rPr>
        <w:t xml:space="preserve"> by contacting all applicants in writing. If, after two attempts in writing, no response is received, HADCO will withdraw the name of an applicant from the waiting list. At the time of initial intake, HADCO will advise families they must notify HADCO when their circumstances, mailing address or phone numbers change.</w:t>
      </w:r>
    </w:p>
    <w:p w:rsidR="00305180" w:rsidRDefault="00305180">
      <w:pPr>
        <w:autoSpaceDE w:val="0"/>
        <w:autoSpaceDN w:val="0"/>
        <w:adjustRightInd w:val="0"/>
        <w:ind w:left="864"/>
        <w:jc w:val="both"/>
        <w:rPr>
          <w:color w:val="000000"/>
        </w:rPr>
      </w:pPr>
      <w:r>
        <w:rPr>
          <w:color w:val="000000"/>
        </w:rPr>
        <w:t xml:space="preserve">(b) HADCO will remove an applicant’s name from the waiting list only in accordance with its </w:t>
      </w:r>
      <w:r>
        <w:rPr>
          <w:b/>
          <w:color w:val="000000"/>
        </w:rPr>
        <w:t>Procedure on Updating the Waiting List and Removing Applications</w:t>
      </w:r>
      <w:r>
        <w:rPr>
          <w:color w:val="000000"/>
        </w:rPr>
        <w: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Changes in Preference Status While on the Waiting List</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xml:space="preserve">(a) Situations of some families who did not qualify for a local or ranking preference when they applied may change so they are qualified for a preference. The family should contact HADCO so their status may be recertified or </w:t>
      </w:r>
      <w:proofErr w:type="spellStart"/>
      <w:r>
        <w:rPr>
          <w:color w:val="000000"/>
        </w:rPr>
        <w:t>reverified</w:t>
      </w:r>
      <w:proofErr w:type="spellEnd"/>
      <w:r>
        <w:rPr>
          <w:color w:val="000000"/>
        </w:rPr>
        <w:t>. Applicants whose preference status changes while they are on the waiting list retain their original date and time of application, or application number, as applicable.</w:t>
      </w:r>
    </w:p>
    <w:p w:rsidR="00305180" w:rsidRDefault="00305180">
      <w:pPr>
        <w:autoSpaceDE w:val="0"/>
        <w:autoSpaceDN w:val="0"/>
        <w:adjustRightInd w:val="0"/>
        <w:ind w:left="864"/>
        <w:jc w:val="both"/>
        <w:rPr>
          <w:color w:val="000000"/>
        </w:rPr>
      </w:pPr>
      <w:r>
        <w:rPr>
          <w:color w:val="000000"/>
        </w:rPr>
        <w:t>(b) If HADCO determines the family does now qualify for a preference, they will be moved up on the waiting list in accordance with their preference(s) and their date and time of application. They will then be informed in writing of how the change in status has affected their place on the waiting list.</w:t>
      </w:r>
    </w:p>
    <w:p w:rsidR="00305180" w:rsidRDefault="00305180">
      <w:pPr>
        <w:autoSpaceDE w:val="0"/>
        <w:autoSpaceDN w:val="0"/>
        <w:adjustRightInd w:val="0"/>
        <w:jc w:val="both"/>
        <w:rPr>
          <w:color w:val="000000"/>
        </w:rPr>
      </w:pPr>
    </w:p>
    <w:p w:rsidR="00305180" w:rsidRDefault="00305180">
      <w:pPr>
        <w:pStyle w:val="Heading3"/>
        <w:rPr>
          <w:rFonts w:ascii="Times New Roman" w:hAnsi="Times New Roman"/>
          <w:sz w:val="24"/>
        </w:rPr>
      </w:pPr>
      <w:r>
        <w:rPr>
          <w:rFonts w:ascii="Times New Roman" w:hAnsi="Times New Roman"/>
          <w:sz w:val="24"/>
        </w:rPr>
        <w:t>Processing Applications for Admission (CFR 960.202)</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lastRenderedPageBreak/>
        <w:t xml:space="preserve">HADCO will accept and process applications in accordance with applicable HUD Regulations and HADCO’s </w:t>
      </w:r>
      <w:r>
        <w:rPr>
          <w:b/>
          <w:color w:val="000000"/>
        </w:rPr>
        <w:t>Procedure on Taking Applications and Initial Processing</w:t>
      </w:r>
      <w:r>
        <w:rPr>
          <w:color w:val="000000"/>
        </w:rPr>
        <w:t>. HADCO will assume the facts certified to by the applicant in the preliminary application are correct, although all those facts will be verified later in the application process.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Interviews and Verification Process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As applicants approach the top of the waiting list, they will be contacted </w:t>
      </w:r>
      <w:r w:rsidR="00955CBD">
        <w:rPr>
          <w:color w:val="000000"/>
        </w:rPr>
        <w:t xml:space="preserve">by mail </w:t>
      </w:r>
      <w:r>
        <w:rPr>
          <w:color w:val="000000"/>
        </w:rPr>
        <w:t xml:space="preserve">and asked to </w:t>
      </w:r>
      <w:r w:rsidR="00955CBD">
        <w:rPr>
          <w:color w:val="000000"/>
        </w:rPr>
        <w:t>complete a detailed application to determine final eligibility.</w:t>
      </w:r>
      <w:r>
        <w:rPr>
          <w:color w:val="000000"/>
        </w:rPr>
        <w:t xml:space="preserve"> </w:t>
      </w:r>
      <w:r w:rsidR="00955CBD">
        <w:rPr>
          <w:color w:val="000000"/>
        </w:rPr>
        <w:t>Applicant will be given 14 days to contact HADCO to complete the application process</w:t>
      </w:r>
      <w:r>
        <w:rPr>
          <w:color w:val="000000"/>
        </w:rPr>
        <w:t xml:space="preserve">. Applicants who fail to </w:t>
      </w:r>
      <w:r w:rsidR="00955CBD">
        <w:rPr>
          <w:color w:val="000000"/>
        </w:rPr>
        <w:t>request, pick up, or complete the application process</w:t>
      </w:r>
      <w:r>
        <w:rPr>
          <w:color w:val="000000"/>
        </w:rPr>
        <w:t xml:space="preserve"> will have their applications withdrawn, subject to </w:t>
      </w:r>
      <w:r w:rsidR="00955CBD">
        <w:rPr>
          <w:color w:val="000000"/>
        </w:rPr>
        <w:t xml:space="preserve">reasonable cause or </w:t>
      </w:r>
      <w:r>
        <w:rPr>
          <w:color w:val="000000"/>
        </w:rPr>
        <w:t>reasonable accommodations for people with disabilities.</w:t>
      </w:r>
    </w:p>
    <w:p w:rsidR="00305180" w:rsidRDefault="00305180">
      <w:pPr>
        <w:numPr>
          <w:ilvl w:val="0"/>
          <w:numId w:val="27"/>
        </w:numPr>
        <w:autoSpaceDE w:val="0"/>
        <w:autoSpaceDN w:val="0"/>
        <w:adjustRightInd w:val="0"/>
        <w:jc w:val="both"/>
        <w:rPr>
          <w:b/>
          <w:color w:val="000000"/>
        </w:rPr>
      </w:pPr>
      <w:r>
        <w:rPr>
          <w:color w:val="000000"/>
        </w:rPr>
        <w:t xml:space="preserve">The following items will be verified according to HADCO’s </w:t>
      </w:r>
      <w:r>
        <w:rPr>
          <w:b/>
          <w:color w:val="000000"/>
        </w:rPr>
        <w:t xml:space="preserve">Procedure on </w:t>
      </w:r>
    </w:p>
    <w:p w:rsidR="00305180" w:rsidRDefault="00305180">
      <w:pPr>
        <w:autoSpaceDE w:val="0"/>
        <w:autoSpaceDN w:val="0"/>
        <w:adjustRightInd w:val="0"/>
        <w:ind w:left="864"/>
        <w:jc w:val="both"/>
        <w:rPr>
          <w:color w:val="000000"/>
        </w:rPr>
      </w:pPr>
      <w:r>
        <w:rPr>
          <w:color w:val="000000"/>
        </w:rPr>
        <w:t xml:space="preserve">      </w:t>
      </w:r>
      <w:r>
        <w:rPr>
          <w:b/>
          <w:color w:val="000000"/>
        </w:rPr>
        <w:t xml:space="preserve">Verification, </w:t>
      </w:r>
      <w:r>
        <w:rPr>
          <w:color w:val="000000"/>
        </w:rPr>
        <w:t xml:space="preserve">to determine qualification for admission to HADCO’s </w:t>
      </w:r>
    </w:p>
    <w:p w:rsidR="00305180" w:rsidRDefault="00305180">
      <w:pPr>
        <w:autoSpaceDE w:val="0"/>
        <w:autoSpaceDN w:val="0"/>
        <w:adjustRightInd w:val="0"/>
        <w:ind w:left="864"/>
        <w:jc w:val="both"/>
        <w:rPr>
          <w:color w:val="000000"/>
        </w:rPr>
      </w:pPr>
      <w:r>
        <w:rPr>
          <w:b/>
          <w:color w:val="000000"/>
        </w:rPr>
        <w:t xml:space="preserve">      </w:t>
      </w:r>
      <w:proofErr w:type="gramStart"/>
      <w:r>
        <w:rPr>
          <w:color w:val="000000"/>
        </w:rPr>
        <w:t>housing</w:t>
      </w:r>
      <w:proofErr w:type="gramEnd"/>
      <w:r>
        <w:rPr>
          <w:color w:val="000000"/>
        </w:rPr>
        <w:t>:</w:t>
      </w:r>
    </w:p>
    <w:p w:rsidR="00305180" w:rsidRDefault="00305180">
      <w:pPr>
        <w:autoSpaceDE w:val="0"/>
        <w:autoSpaceDN w:val="0"/>
        <w:adjustRightInd w:val="0"/>
        <w:ind w:left="2160"/>
        <w:jc w:val="both"/>
        <w:rPr>
          <w:color w:val="000000"/>
        </w:rPr>
      </w:pPr>
      <w:r>
        <w:rPr>
          <w:color w:val="000000"/>
        </w:rPr>
        <w:t>Family composition and type (Elderly/Disabled/near elderly /non-elderly);</w:t>
      </w:r>
    </w:p>
    <w:p w:rsidR="00305180" w:rsidRDefault="00305180">
      <w:pPr>
        <w:autoSpaceDE w:val="0"/>
        <w:autoSpaceDN w:val="0"/>
        <w:adjustRightInd w:val="0"/>
        <w:ind w:left="2160"/>
        <w:jc w:val="both"/>
        <w:rPr>
          <w:color w:val="000000"/>
        </w:rPr>
      </w:pPr>
      <w:r>
        <w:rPr>
          <w:color w:val="000000"/>
        </w:rPr>
        <w:t>Annual Income;</w:t>
      </w:r>
    </w:p>
    <w:p w:rsidR="00305180" w:rsidRDefault="00305180">
      <w:pPr>
        <w:autoSpaceDE w:val="0"/>
        <w:autoSpaceDN w:val="0"/>
        <w:adjustRightInd w:val="0"/>
        <w:ind w:left="2160"/>
        <w:jc w:val="both"/>
        <w:rPr>
          <w:color w:val="000000"/>
        </w:rPr>
      </w:pPr>
      <w:r>
        <w:rPr>
          <w:color w:val="000000"/>
        </w:rPr>
        <w:t>Assets and Asset Income;</w:t>
      </w:r>
    </w:p>
    <w:p w:rsidR="00305180" w:rsidRDefault="00305180">
      <w:pPr>
        <w:autoSpaceDE w:val="0"/>
        <w:autoSpaceDN w:val="0"/>
        <w:adjustRightInd w:val="0"/>
        <w:ind w:left="2160"/>
        <w:jc w:val="both"/>
        <w:rPr>
          <w:color w:val="000000"/>
        </w:rPr>
      </w:pPr>
      <w:r>
        <w:rPr>
          <w:color w:val="000000"/>
        </w:rPr>
        <w:t>Deductions from Income;</w:t>
      </w:r>
    </w:p>
    <w:p w:rsidR="00305180" w:rsidRDefault="00305180">
      <w:pPr>
        <w:autoSpaceDE w:val="0"/>
        <w:autoSpaceDN w:val="0"/>
        <w:adjustRightInd w:val="0"/>
        <w:ind w:left="2160"/>
        <w:jc w:val="both"/>
        <w:rPr>
          <w:color w:val="000000"/>
        </w:rPr>
      </w:pPr>
      <w:r>
        <w:rPr>
          <w:color w:val="000000"/>
        </w:rPr>
        <w:t>Preferences;</w:t>
      </w:r>
    </w:p>
    <w:p w:rsidR="00305180" w:rsidRDefault="00305180">
      <w:pPr>
        <w:autoSpaceDE w:val="0"/>
        <w:autoSpaceDN w:val="0"/>
        <w:adjustRightInd w:val="0"/>
        <w:ind w:left="2160"/>
        <w:jc w:val="both"/>
        <w:rPr>
          <w:color w:val="000000"/>
        </w:rPr>
      </w:pPr>
      <w:r>
        <w:rPr>
          <w:color w:val="000000"/>
        </w:rPr>
        <w:t>Social Security Numbers of all Family Members;</w:t>
      </w:r>
    </w:p>
    <w:p w:rsidR="00305180" w:rsidRDefault="00305180">
      <w:pPr>
        <w:autoSpaceDE w:val="0"/>
        <w:autoSpaceDN w:val="0"/>
        <w:adjustRightInd w:val="0"/>
        <w:ind w:left="2160"/>
        <w:jc w:val="both"/>
        <w:rPr>
          <w:color w:val="000000"/>
        </w:rPr>
      </w:pPr>
      <w:r>
        <w:rPr>
          <w:color w:val="000000"/>
        </w:rPr>
        <w:t>Applicant Screening Information; and</w:t>
      </w:r>
    </w:p>
    <w:p w:rsidR="00305180" w:rsidRDefault="00305180">
      <w:pPr>
        <w:autoSpaceDE w:val="0"/>
        <w:autoSpaceDN w:val="0"/>
        <w:adjustRightInd w:val="0"/>
        <w:ind w:left="2160"/>
        <w:jc w:val="both"/>
        <w:rPr>
          <w:color w:val="000000"/>
        </w:rPr>
      </w:pPr>
      <w:proofErr w:type="gramStart"/>
      <w:r>
        <w:rPr>
          <w:color w:val="000000"/>
        </w:rPr>
        <w:t>Citizenship or eligible immigration status.</w:t>
      </w:r>
      <w:proofErr w:type="gramEnd"/>
    </w:p>
    <w:p w:rsidR="00305180" w:rsidRDefault="00305180">
      <w:pPr>
        <w:autoSpaceDE w:val="0"/>
        <w:autoSpaceDN w:val="0"/>
        <w:adjustRightInd w:val="0"/>
        <w:ind w:left="864"/>
        <w:jc w:val="both"/>
        <w:rPr>
          <w:color w:val="000000"/>
        </w:rPr>
      </w:pPr>
      <w:r>
        <w:rPr>
          <w:color w:val="000000"/>
        </w:rPr>
        <w:t>(b) Third party written verification is the required form of documentation to substantiate applicant or resident claims. If attempts to obtain third party written verification are unsuccessful, HADCO may also use (1) phone verifications with the results recorded in the file, dated, and signed by HADCO staff, (2) review of documents, and, if no other form of verification is available, (3) applicant certification. Applicants must cooperate fully in obtaining or providing the necessary verifications.</w:t>
      </w:r>
    </w:p>
    <w:p w:rsidR="00305180" w:rsidRDefault="00305180">
      <w:pPr>
        <w:autoSpaceDE w:val="0"/>
        <w:autoSpaceDN w:val="0"/>
        <w:adjustRightInd w:val="0"/>
        <w:ind w:left="864"/>
        <w:jc w:val="both"/>
        <w:rPr>
          <w:color w:val="000000"/>
        </w:rPr>
      </w:pPr>
      <w:r>
        <w:rPr>
          <w:color w:val="000000"/>
        </w:rPr>
        <w:t xml:space="preserve">(c) Verification of eligible immigration status shall be carried out pursuant to </w:t>
      </w:r>
      <w:r>
        <w:rPr>
          <w:b/>
          <w:color w:val="000000"/>
        </w:rPr>
        <w:t>24 CFR § 5.5</w:t>
      </w:r>
      <w:r>
        <w:rPr>
          <w:color w:val="000000"/>
        </w:rPr>
        <w:t>. Citizens are permitted to certify to their status.</w:t>
      </w:r>
    </w:p>
    <w:p w:rsidR="00305180" w:rsidRDefault="00305180">
      <w:pPr>
        <w:autoSpaceDE w:val="0"/>
        <w:autoSpaceDN w:val="0"/>
        <w:adjustRightInd w:val="0"/>
        <w:ind w:left="864"/>
        <w:jc w:val="both"/>
        <w:rPr>
          <w:color w:val="000000"/>
        </w:rPr>
      </w:pPr>
    </w:p>
    <w:p w:rsidR="00305180" w:rsidRDefault="00305180">
      <w:pPr>
        <w:pStyle w:val="BodyText"/>
        <w:rPr>
          <w:rFonts w:ascii="Times New Roman" w:hAnsi="Times New Roman"/>
          <w:sz w:val="24"/>
        </w:rPr>
      </w:pPr>
      <w:r>
        <w:rPr>
          <w:rFonts w:ascii="Times New Roman" w:hAnsi="Times New Roman"/>
          <w:sz w:val="24"/>
        </w:rPr>
        <w:t>Applicants reporting minimum or zero income will be asked to complete a family expense form to document how much they spend on: food, transportation, health care, child care, debts, household items, etc. and what the source of income is for these expenses. Applicants with exempt income will not be required to complete minimum zero income statements.</w:t>
      </w:r>
    </w:p>
    <w:p w:rsidR="00305180" w:rsidRDefault="00305180">
      <w:pPr>
        <w:pStyle w:val="BodyText"/>
        <w:rPr>
          <w:rFonts w:ascii="Times New Roman" w:hAnsi="Times New Roman"/>
          <w:sz w:val="24"/>
        </w:rPr>
      </w:pPr>
    </w:p>
    <w:p w:rsidR="00305180" w:rsidRDefault="00305180">
      <w:pPr>
        <w:autoSpaceDE w:val="0"/>
        <w:autoSpaceDN w:val="0"/>
        <w:adjustRightInd w:val="0"/>
        <w:jc w:val="both"/>
        <w:rPr>
          <w:color w:val="000000"/>
        </w:rPr>
      </w:pPr>
      <w:r>
        <w:rPr>
          <w:color w:val="000000"/>
        </w:rPr>
        <w:t>HADCO’s applications for admission to public housing shall indicate for each application the date and time of receipt; applicant’s race and ethnicity; determination by HADCO as to eligibility of the applicant; when eligible, the unit size(s) for which eligible; preference, if any; and the date, location, identification, and circumstances of each vacancy offered and accepted or rejected.</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The Preference System (CFR 960.202)</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Local Preference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There is one local preference in effect based on ranges of income. Applicants will be grouped as follows: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 </w:t>
      </w:r>
      <w:r>
        <w:rPr>
          <w:b/>
          <w:color w:val="000000"/>
        </w:rPr>
        <w:t xml:space="preserve">Tier I: </w:t>
      </w:r>
      <w:r>
        <w:rPr>
          <w:color w:val="000000"/>
        </w:rPr>
        <w:t xml:space="preserve">Families with incomes between 0% and 30% of area median income (this group </w:t>
      </w:r>
      <w:r>
        <w:rPr>
          <w:b/>
          <w:color w:val="000000"/>
        </w:rPr>
        <w:t xml:space="preserve">must </w:t>
      </w:r>
      <w:r>
        <w:rPr>
          <w:color w:val="000000"/>
        </w:rPr>
        <w:t>constitute at least 40% of all admissions in any year);</w:t>
      </w:r>
    </w:p>
    <w:p w:rsidR="00305180" w:rsidRDefault="00305180">
      <w:pPr>
        <w:autoSpaceDE w:val="0"/>
        <w:autoSpaceDN w:val="0"/>
        <w:adjustRightInd w:val="0"/>
        <w:jc w:val="both"/>
        <w:rPr>
          <w:color w:val="000000"/>
        </w:rPr>
      </w:pPr>
      <w:r>
        <w:rPr>
          <w:color w:val="000000"/>
        </w:rPr>
        <w:lastRenderedPageBreak/>
        <w:t xml:space="preserve">• </w:t>
      </w:r>
      <w:r>
        <w:rPr>
          <w:b/>
          <w:color w:val="000000"/>
        </w:rPr>
        <w:t xml:space="preserve">Tier II: </w:t>
      </w:r>
      <w:r>
        <w:rPr>
          <w:color w:val="000000"/>
        </w:rPr>
        <w:t>Families with incomes between 31% and 80% of area median income (the target for this group is 60% of all admissions in any year).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Method of Applying Preferences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To ensure HADCO admits the statutorily required 40% of applicants per year with incomes in Tier I and, at the same time, does not create concentrations of families by income at any of its properties, HADCO will rank applicants within both income tiers, in order. Four out of every ten applicants admitted will be from Tier I. Within each of the ranking preference categories, offers will be made by oldest application.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Administration of the Preferences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 Depending on the time an applicant may have to remain on the waiting list, HADCO will either verify preferences at the time of application (when the waiting list is short or nonexistent) or require applicants certify to their qualification for a preference at the time of pre-application (when the wait for admission exceeds four months). Preference verifications shall be no more than 120 days old at the time of certification.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(b) HADCO may use a pre-application to obtain the family’s certification that it qualifies for a preference. The family will be advised to notify HADCO of any change that may affect their ability to qualify for a preference.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(c) Applicants that are otherwise eligible and self-certified as qualifying for a preference will be placed on the waiting list in the appropriate applicant pool.</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(d) Applicants that self-certify to a preference at the time of pre-application and cannot verify current preference status at the time of certification will be moved into the Non-preference category, and to a lower position on the waiting list based on date and time of application.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Notice and Opportunity for a Review</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If an applicant claims but does not qualify for a preference, the applicant can request an informal review:</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 HADCO will provide a notice an applicant does not qualify for a preference containing a brief statement of the reasons for the determination, and that the applicant may meet with HADCO’s designee to review the determination.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(b) If the applicant requests the review, HADCO will designate someone to conduct the review. This can be the person who made the initial determination or reviewed the determination of his or her subordinate, or any other person chosen by HADCO. A written summary of this meeting shall be made and retained in the applicant’s file.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(c) The applicant will be advised that he/she may exercise other rights if the applicant believes that illegal discrimination, based on race, color, national origin, religion, age, disability, or familial status has contributed to HADCO’s decision to deny the preference.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Screening Applicants for Admission (CFR 960.205)</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All applicants shall be screened in accordance with HUD’s regulations and sound management practices. During screening, HADCO will require applicants to demonstrate ability to comply with essential provisions of the lease as summarized below:</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rPr>
        <w:lastRenderedPageBreak/>
        <w:t xml:space="preserve">(a) </w:t>
      </w:r>
      <w:proofErr w:type="gramStart"/>
      <w:r>
        <w:rPr>
          <w:color w:val="000000"/>
        </w:rPr>
        <w:t>to</w:t>
      </w:r>
      <w:proofErr w:type="gramEnd"/>
      <w:r>
        <w:rPr>
          <w:color w:val="000000"/>
        </w:rPr>
        <w:t xml:space="preserve"> pay rent and other charges (e.g. utility bills) as required by the lease in a timely manner; </w:t>
      </w:r>
    </w:p>
    <w:p w:rsidR="00305180" w:rsidRDefault="00305180">
      <w:pPr>
        <w:autoSpaceDE w:val="0"/>
        <w:autoSpaceDN w:val="0"/>
        <w:adjustRightInd w:val="0"/>
        <w:ind w:left="864"/>
        <w:jc w:val="both"/>
        <w:rPr>
          <w:color w:val="000000"/>
        </w:rPr>
      </w:pPr>
      <w:r>
        <w:rPr>
          <w:color w:val="000000"/>
        </w:rPr>
        <w:t xml:space="preserve">(b) </w:t>
      </w:r>
      <w:proofErr w:type="gramStart"/>
      <w:r>
        <w:rPr>
          <w:color w:val="000000"/>
        </w:rPr>
        <w:t>to</w:t>
      </w:r>
      <w:proofErr w:type="gramEnd"/>
      <w:r>
        <w:rPr>
          <w:color w:val="000000"/>
        </w:rPr>
        <w:t xml:space="preserve"> care for and avoid damaging the unit and common areas;</w:t>
      </w:r>
    </w:p>
    <w:p w:rsidR="00305180" w:rsidRDefault="00305180">
      <w:pPr>
        <w:autoSpaceDE w:val="0"/>
        <w:autoSpaceDN w:val="0"/>
        <w:adjustRightInd w:val="0"/>
        <w:ind w:left="864"/>
        <w:jc w:val="both"/>
        <w:rPr>
          <w:color w:val="000000"/>
        </w:rPr>
      </w:pPr>
      <w:r>
        <w:rPr>
          <w:color w:val="000000"/>
        </w:rPr>
        <w:t xml:space="preserve">(c) </w:t>
      </w:r>
      <w:proofErr w:type="gramStart"/>
      <w:r>
        <w:rPr>
          <w:color w:val="000000"/>
        </w:rPr>
        <w:t>to</w:t>
      </w:r>
      <w:proofErr w:type="gramEnd"/>
      <w:r>
        <w:rPr>
          <w:color w:val="000000"/>
        </w:rPr>
        <w:t xml:space="preserve"> use facilities and equipment in a reasonable way;</w:t>
      </w:r>
    </w:p>
    <w:p w:rsidR="00305180" w:rsidRDefault="00305180">
      <w:pPr>
        <w:autoSpaceDE w:val="0"/>
        <w:autoSpaceDN w:val="0"/>
        <w:adjustRightInd w:val="0"/>
        <w:ind w:left="864"/>
        <w:jc w:val="both"/>
        <w:rPr>
          <w:color w:val="000000"/>
        </w:rPr>
      </w:pPr>
      <w:r>
        <w:rPr>
          <w:color w:val="000000"/>
        </w:rPr>
        <w:t xml:space="preserve">(d) </w:t>
      </w:r>
      <w:proofErr w:type="gramStart"/>
      <w:r>
        <w:rPr>
          <w:color w:val="000000"/>
        </w:rPr>
        <w:t>to</w:t>
      </w:r>
      <w:proofErr w:type="gramEnd"/>
      <w:r>
        <w:rPr>
          <w:color w:val="000000"/>
        </w:rPr>
        <w:t xml:space="preserve"> create no health, or safety hazards, and to report maintenance needs;</w:t>
      </w:r>
    </w:p>
    <w:p w:rsidR="00305180" w:rsidRDefault="00305180">
      <w:pPr>
        <w:autoSpaceDE w:val="0"/>
        <w:autoSpaceDN w:val="0"/>
        <w:adjustRightInd w:val="0"/>
        <w:ind w:left="864"/>
        <w:jc w:val="both"/>
        <w:rPr>
          <w:color w:val="000000"/>
        </w:rPr>
      </w:pPr>
      <w:r>
        <w:rPr>
          <w:color w:val="000000"/>
        </w:rPr>
        <w:t xml:space="preserve">(e) </w:t>
      </w:r>
      <w:proofErr w:type="gramStart"/>
      <w:r>
        <w:rPr>
          <w:color w:val="000000"/>
        </w:rPr>
        <w:t>not</w:t>
      </w:r>
      <w:proofErr w:type="gramEnd"/>
      <w:r>
        <w:rPr>
          <w:color w:val="000000"/>
        </w:rPr>
        <w:t xml:space="preserve"> to interfere with the rights and peaceful enjoyment of others, and to avoid damaging the  property of others;</w:t>
      </w:r>
    </w:p>
    <w:p w:rsidR="00305180" w:rsidRDefault="00305180">
      <w:pPr>
        <w:autoSpaceDE w:val="0"/>
        <w:autoSpaceDN w:val="0"/>
        <w:adjustRightInd w:val="0"/>
        <w:ind w:left="864"/>
        <w:jc w:val="both"/>
        <w:rPr>
          <w:color w:val="000000"/>
        </w:rPr>
      </w:pPr>
      <w:r>
        <w:rPr>
          <w:color w:val="000000"/>
        </w:rPr>
        <w:t>(f) not to engage in criminal activity that threatens the health, safety or right to peaceful enjoyment of the premises by other residents or staff; and not to engage in drug-related criminal activity; and</w:t>
      </w:r>
    </w:p>
    <w:p w:rsidR="00305180" w:rsidRDefault="00305180">
      <w:pPr>
        <w:pStyle w:val="BodyTextIndent"/>
        <w:rPr>
          <w:sz w:val="24"/>
        </w:rPr>
      </w:pPr>
      <w:r>
        <w:rPr>
          <w:sz w:val="24"/>
        </w:rPr>
        <w:t xml:space="preserve">(g) </w:t>
      </w:r>
      <w:proofErr w:type="gramStart"/>
      <w:r>
        <w:rPr>
          <w:sz w:val="24"/>
        </w:rPr>
        <w:t>to</w:t>
      </w:r>
      <w:proofErr w:type="gramEnd"/>
      <w:r>
        <w:rPr>
          <w:sz w:val="24"/>
        </w:rPr>
        <w:t xml:space="preserve"> comply with necessary and reasonable rules and program requirements of HUD and  HADCO.</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How HADCO will check ability to comply with essential lease requirements: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(a) Applicant ability and willingness to comply with the essential lease requirements will be checked and documented in accordance with HADCO’s </w:t>
      </w:r>
      <w:r>
        <w:rPr>
          <w:b/>
          <w:color w:val="000000"/>
        </w:rPr>
        <w:t>Procedure on Applicant Screening</w:t>
      </w:r>
      <w:r>
        <w:rPr>
          <w:color w:val="000000"/>
        </w:rPr>
        <w:t>. Applicant screening shall assess the conduct of the applicant and other family members listed on the application, in present and prior housing. Any costs incurred to complete the application process and screening will be paid by HADCO.</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(b) The history of applicant conduct and behavior must demonstrate the applicant family</w:t>
      </w:r>
    </w:p>
    <w:p w:rsidR="00305180" w:rsidRDefault="00305180">
      <w:pPr>
        <w:autoSpaceDE w:val="0"/>
        <w:autoSpaceDN w:val="0"/>
        <w:adjustRightInd w:val="0"/>
        <w:jc w:val="both"/>
        <w:rPr>
          <w:color w:val="000000"/>
        </w:rPr>
      </w:pPr>
      <w:r>
        <w:rPr>
          <w:color w:val="000000"/>
        </w:rPr>
        <w:t xml:space="preserve">      </w:t>
      </w:r>
      <w:proofErr w:type="gramStart"/>
      <w:r>
        <w:rPr>
          <w:color w:val="000000"/>
        </w:rPr>
        <w:t>can</w:t>
      </w:r>
      <w:proofErr w:type="gramEnd"/>
      <w:r>
        <w:rPr>
          <w:color w:val="000000"/>
        </w:rPr>
        <w:t xml:space="preserve"> reasonably be expected </w:t>
      </w:r>
      <w:r>
        <w:rPr>
          <w:b/>
          <w:color w:val="000000"/>
        </w:rPr>
        <w:t>not to</w:t>
      </w:r>
      <w:r>
        <w:rPr>
          <w:color w:val="000000"/>
        </w:rPr>
        <w:t>:</w:t>
      </w:r>
    </w:p>
    <w:p w:rsidR="00305180" w:rsidRDefault="00305180">
      <w:pPr>
        <w:autoSpaceDE w:val="0"/>
        <w:autoSpaceDN w:val="0"/>
        <w:adjustRightInd w:val="0"/>
        <w:ind w:left="864"/>
        <w:jc w:val="both"/>
        <w:rPr>
          <w:color w:val="000000"/>
        </w:rPr>
      </w:pPr>
      <w:r>
        <w:rPr>
          <w:color w:val="000000"/>
        </w:rPr>
        <w:t>(</w:t>
      </w:r>
      <w:proofErr w:type="spellStart"/>
      <w:proofErr w:type="gramStart"/>
      <w:r>
        <w:rPr>
          <w:color w:val="000000"/>
        </w:rPr>
        <w:t>i</w:t>
      </w:r>
      <w:proofErr w:type="spellEnd"/>
      <w:proofErr w:type="gramEnd"/>
      <w:r>
        <w:rPr>
          <w:color w:val="000000"/>
        </w:rPr>
        <w:t>) Interfere with other residents in such a manner as to diminish their peaceful enjoyment of the premises by adversely affecting their health, safety, or welfare;</w:t>
      </w:r>
    </w:p>
    <w:p w:rsidR="00305180" w:rsidRDefault="00305180">
      <w:pPr>
        <w:autoSpaceDE w:val="0"/>
        <w:autoSpaceDN w:val="0"/>
        <w:adjustRightInd w:val="0"/>
        <w:ind w:left="864"/>
        <w:jc w:val="both"/>
        <w:rPr>
          <w:color w:val="000000"/>
        </w:rPr>
      </w:pPr>
      <w:r>
        <w:rPr>
          <w:color w:val="000000"/>
        </w:rPr>
        <w:t>(ii) Adversely affect the physical environment or financial stability of the project;</w:t>
      </w:r>
    </w:p>
    <w:p w:rsidR="00305180" w:rsidRDefault="00305180">
      <w:pPr>
        <w:autoSpaceDE w:val="0"/>
        <w:autoSpaceDN w:val="0"/>
        <w:adjustRightInd w:val="0"/>
        <w:ind w:left="864"/>
        <w:jc w:val="both"/>
        <w:rPr>
          <w:color w:val="000000"/>
        </w:rPr>
      </w:pPr>
      <w:r>
        <w:rPr>
          <w:color w:val="000000"/>
        </w:rPr>
        <w:t>(iii) Violate the terms and conditions of the lease;</w:t>
      </w:r>
    </w:p>
    <w:p w:rsidR="00305180" w:rsidRDefault="00305180">
      <w:pPr>
        <w:autoSpaceDE w:val="0"/>
        <w:autoSpaceDN w:val="0"/>
        <w:adjustRightInd w:val="0"/>
        <w:ind w:left="864"/>
        <w:jc w:val="both"/>
        <w:rPr>
          <w:color w:val="000000"/>
        </w:rPr>
      </w:pPr>
      <w:proofErr w:type="gramStart"/>
      <w:r>
        <w:rPr>
          <w:color w:val="000000"/>
        </w:rPr>
        <w:t>(iv) Require</w:t>
      </w:r>
      <w:proofErr w:type="gramEnd"/>
      <w:r>
        <w:rPr>
          <w:color w:val="000000"/>
        </w:rPr>
        <w:t xml:space="preserve"> services from HADCO staff that would alter the fundamental nature of HADCO’s program.</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jc w:val="both"/>
        <w:rPr>
          <w:color w:val="000000"/>
        </w:rPr>
      </w:pPr>
      <w:r>
        <w:rPr>
          <w:color w:val="000000"/>
        </w:rPr>
        <w:t>(c) HADCO will conduct a detailed interview of all applicants using the completed full application as a part of the screening procedures. The form will ask questions based on the essential elements of tenancy. Answers will be subject to third party verification.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(d) HADCO will complete a rental history check on all applicants.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(e) Payment of funds owed to HADCO or any other housing authority is part of the screening evaluation. HADCO will reject an applicant for unpaid balances owed HADCO or other subsidized housing programs by the applicant or for any program that HADCO operates.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(f) HADCO will complete a criminal background check on all adult applicants or any member for whom criminal records are available. Before HADCO rejects an applicant on the basis of criminal history, HADCO must notify the household of the proposed rejection and provide the household member whose criminal history is at issue with a copy of the criminal record and an opportunity to dispute the accuracy and relevance of that record.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(g) If any screening activity suggests an applicant household member may be currently engaged in illegal use of drugs, HADCO may seek information from a drug abuse treatment facility to determine whether the facility has reasonable cause to believe the household member is currently engaging in illegal drug use.</w:t>
      </w:r>
    </w:p>
    <w:p w:rsidR="00305180" w:rsidRDefault="00305180">
      <w:pPr>
        <w:autoSpaceDE w:val="0"/>
        <w:autoSpaceDN w:val="0"/>
        <w:adjustRightInd w:val="0"/>
        <w:jc w:val="both"/>
        <w:rPr>
          <w:color w:val="000000"/>
        </w:rPr>
      </w:pPr>
    </w:p>
    <w:p w:rsidR="00305180" w:rsidRDefault="00305180">
      <w:pPr>
        <w:pStyle w:val="BodyTextIndent"/>
        <w:ind w:left="360"/>
        <w:rPr>
          <w:sz w:val="24"/>
        </w:rPr>
      </w:pPr>
      <w:r>
        <w:rPr>
          <w:sz w:val="24"/>
        </w:rPr>
        <w:t xml:space="preserve">Housekeeping criteria to be checked shall include, but not be limited to: </w:t>
      </w:r>
    </w:p>
    <w:p w:rsidR="00305180" w:rsidRDefault="00305180">
      <w:pPr>
        <w:pStyle w:val="BodyTextIndent"/>
        <w:ind w:left="360"/>
        <w:rPr>
          <w:sz w:val="24"/>
        </w:rPr>
      </w:pPr>
    </w:p>
    <w:p w:rsidR="00305180" w:rsidRDefault="00305180">
      <w:pPr>
        <w:autoSpaceDE w:val="0"/>
        <w:autoSpaceDN w:val="0"/>
        <w:adjustRightInd w:val="0"/>
        <w:ind w:left="1008"/>
        <w:jc w:val="both"/>
        <w:rPr>
          <w:color w:val="000000"/>
        </w:rPr>
      </w:pPr>
      <w:proofErr w:type="gramStart"/>
      <w:r>
        <w:rPr>
          <w:color w:val="000000"/>
        </w:rPr>
        <w:t>1.Conditions</w:t>
      </w:r>
      <w:proofErr w:type="gramEnd"/>
      <w:r>
        <w:rPr>
          <w:color w:val="000000"/>
        </w:rPr>
        <w:t xml:space="preserve"> in living room, kitchen (food preparation and clean-up), bathroom, bedrooms, entrance-ways, halls, and yard (if applicable);</w:t>
      </w:r>
    </w:p>
    <w:p w:rsidR="00305180" w:rsidRDefault="00305180">
      <w:pPr>
        <w:autoSpaceDE w:val="0"/>
        <w:autoSpaceDN w:val="0"/>
        <w:adjustRightInd w:val="0"/>
        <w:ind w:left="1008"/>
        <w:jc w:val="both"/>
        <w:rPr>
          <w:color w:val="000000"/>
        </w:rPr>
      </w:pPr>
      <w:proofErr w:type="gramStart"/>
      <w:r>
        <w:rPr>
          <w:color w:val="000000"/>
        </w:rPr>
        <w:lastRenderedPageBreak/>
        <w:t>2.Cleanliness</w:t>
      </w:r>
      <w:proofErr w:type="gramEnd"/>
      <w:r>
        <w:rPr>
          <w:color w:val="000000"/>
        </w:rPr>
        <w:t xml:space="preserve"> in each room; and</w:t>
      </w:r>
    </w:p>
    <w:p w:rsidR="00305180" w:rsidRDefault="00305180">
      <w:pPr>
        <w:autoSpaceDE w:val="0"/>
        <w:autoSpaceDN w:val="0"/>
        <w:adjustRightInd w:val="0"/>
        <w:ind w:left="1008"/>
        <w:jc w:val="both"/>
        <w:rPr>
          <w:color w:val="000000"/>
        </w:rPr>
      </w:pPr>
      <w:proofErr w:type="gramStart"/>
      <w:r>
        <w:rPr>
          <w:color w:val="000000"/>
        </w:rPr>
        <w:t>3.General</w:t>
      </w:r>
      <w:proofErr w:type="gramEnd"/>
      <w:r>
        <w:rPr>
          <w:color w:val="000000"/>
        </w:rPr>
        <w:t xml:space="preserve"> care of appliances, fixtures, windows, doors and cabinets.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      Other HADCO lease compliance criteria will also be checked, such as:</w:t>
      </w:r>
    </w:p>
    <w:p w:rsidR="00305180" w:rsidRDefault="00305180">
      <w:pPr>
        <w:autoSpaceDE w:val="0"/>
        <w:autoSpaceDN w:val="0"/>
        <w:adjustRightInd w:val="0"/>
        <w:jc w:val="both"/>
        <w:rPr>
          <w:color w:val="000000"/>
        </w:rPr>
      </w:pPr>
      <w:r>
        <w:rPr>
          <w:color w:val="000000"/>
        </w:rPr>
        <w:t xml:space="preserve">                 </w:t>
      </w:r>
      <w:proofErr w:type="gramStart"/>
      <w:r>
        <w:rPr>
          <w:color w:val="000000"/>
        </w:rPr>
        <w:t>1.Evidence</w:t>
      </w:r>
      <w:proofErr w:type="gramEnd"/>
      <w:r>
        <w:rPr>
          <w:color w:val="000000"/>
        </w:rPr>
        <w:t xml:space="preserve"> of destruction of property;</w:t>
      </w:r>
    </w:p>
    <w:p w:rsidR="00305180" w:rsidRDefault="00305180">
      <w:pPr>
        <w:autoSpaceDE w:val="0"/>
        <w:autoSpaceDN w:val="0"/>
        <w:adjustRightInd w:val="0"/>
        <w:jc w:val="both"/>
        <w:rPr>
          <w:color w:val="000000"/>
        </w:rPr>
      </w:pPr>
      <w:r>
        <w:rPr>
          <w:color w:val="000000"/>
        </w:rPr>
        <w:t xml:space="preserve">                 </w:t>
      </w:r>
      <w:proofErr w:type="gramStart"/>
      <w:r>
        <w:rPr>
          <w:color w:val="000000"/>
        </w:rPr>
        <w:t>2.Unauthorized</w:t>
      </w:r>
      <w:proofErr w:type="gramEnd"/>
      <w:r>
        <w:rPr>
          <w:color w:val="000000"/>
        </w:rPr>
        <w:t xml:space="preserve"> occupants;</w:t>
      </w:r>
    </w:p>
    <w:p w:rsidR="00305180" w:rsidRDefault="00305180">
      <w:pPr>
        <w:autoSpaceDE w:val="0"/>
        <w:autoSpaceDN w:val="0"/>
        <w:adjustRightInd w:val="0"/>
        <w:jc w:val="both"/>
        <w:rPr>
          <w:color w:val="000000"/>
        </w:rPr>
      </w:pPr>
      <w:r>
        <w:rPr>
          <w:color w:val="000000"/>
        </w:rPr>
        <w:t xml:space="preserve">                 </w:t>
      </w:r>
      <w:proofErr w:type="gramStart"/>
      <w:r>
        <w:rPr>
          <w:color w:val="000000"/>
        </w:rPr>
        <w:t>3.Evidence</w:t>
      </w:r>
      <w:proofErr w:type="gramEnd"/>
      <w:r>
        <w:rPr>
          <w:color w:val="000000"/>
        </w:rPr>
        <w:t xml:space="preserve"> of criminal activity; and</w:t>
      </w:r>
    </w:p>
    <w:p w:rsidR="00305180" w:rsidRDefault="00305180">
      <w:pPr>
        <w:autoSpaceDE w:val="0"/>
        <w:autoSpaceDN w:val="0"/>
        <w:adjustRightInd w:val="0"/>
        <w:ind w:left="1008"/>
        <w:jc w:val="both"/>
        <w:rPr>
          <w:color w:val="000000"/>
        </w:rPr>
      </w:pPr>
      <w:proofErr w:type="gramStart"/>
      <w:r>
        <w:rPr>
          <w:color w:val="000000"/>
        </w:rPr>
        <w:t>4.Conditions</w:t>
      </w:r>
      <w:proofErr w:type="gramEnd"/>
      <w:r>
        <w:rPr>
          <w:color w:val="000000"/>
        </w:rPr>
        <w:t xml:space="preserve"> inconsistent with application information.</w:t>
      </w:r>
    </w:p>
    <w:p w:rsidR="00305180" w:rsidRDefault="00305180">
      <w:pPr>
        <w:autoSpaceDE w:val="0"/>
        <w:autoSpaceDN w:val="0"/>
        <w:adjustRightInd w:val="0"/>
        <w:ind w:left="1008"/>
        <w:jc w:val="both"/>
        <w:rPr>
          <w:color w:val="000000"/>
        </w:rPr>
      </w:pPr>
    </w:p>
    <w:p w:rsidR="00305180" w:rsidRDefault="00305180">
      <w:pPr>
        <w:autoSpaceDE w:val="0"/>
        <w:autoSpaceDN w:val="0"/>
        <w:adjustRightInd w:val="0"/>
        <w:jc w:val="both"/>
        <w:rPr>
          <w:color w:val="000000"/>
        </w:rPr>
      </w:pPr>
      <w:r>
        <w:rPr>
          <w:color w:val="000000"/>
        </w:rPr>
        <w:t>All applicants shall have at least two days advance written notice of Home Visits.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(h) All applicants are required to complete HADCO’s Pre-Occupancy Orientation.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w:t>
      </w:r>
      <w:proofErr w:type="spellStart"/>
      <w:r>
        <w:rPr>
          <w:color w:val="000000"/>
        </w:rPr>
        <w:t>i</w:t>
      </w:r>
      <w:proofErr w:type="spellEnd"/>
      <w:r>
        <w:rPr>
          <w:color w:val="000000"/>
        </w:rPr>
        <w:t>) HADCO’s examination of relevant information respecting past and current habits or practices will include, but is not limited to, an assessment of the applicant's adult family members: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Past performance in meeting financial obligations, especially rent and utility bills.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Record of disturbance of neighbors (sufficient to warrant a police call) destruction of property, or living or housekeeping habits that may adversely affect the health, safety, or welfare of other tenants or neighbors.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History of criminal activity on the part of any applicant family member involving crimes of physical violence to persons or property or other criminal acts including drug-related criminal activity that would adversely affect the health, safety, or welfare of other residents or staff or cause damage to the unit or development.</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b/>
          <w:color w:val="000000"/>
        </w:rPr>
        <w:t xml:space="preserve">- </w:t>
      </w:r>
      <w:r>
        <w:rPr>
          <w:color w:val="000000"/>
        </w:rPr>
        <w:t>HADCO may require an applicant to exclude a household member in order to be admitted if that household member has participated in or been culpable for criminal actions that warrant rejection;</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rPr>
        <w:t>- HADCO may, if a statute requires that HADCO prohibit admission for a prescribed period of time after some disqualifying behavior or event, choose to continue that prohibition for a longer period of time.</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jc w:val="both"/>
        <w:rPr>
          <w:color w:val="000000"/>
        </w:rPr>
      </w:pPr>
      <w:r>
        <w:rPr>
          <w:color w:val="000000"/>
        </w:rPr>
        <w:t>• A record of eviction from housing or involuntary termination from residential programs (taking into account date and circumstances).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An applicant’s ability and willingness to comply with the terms of HADCO’s lease.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(j) HADCO is </w:t>
      </w:r>
      <w:r>
        <w:rPr>
          <w:b/>
          <w:color w:val="000000"/>
        </w:rPr>
        <w:t xml:space="preserve">required </w:t>
      </w:r>
      <w:r>
        <w:rPr>
          <w:color w:val="000000"/>
        </w:rPr>
        <w:t>to reject the applications of certain applicants for criminal activity or drug abuse by household members: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 HADCO shall </w:t>
      </w:r>
      <w:r w:rsidR="00B842A0">
        <w:rPr>
          <w:color w:val="000000"/>
        </w:rPr>
        <w:t>deny</w:t>
      </w:r>
      <w:r>
        <w:rPr>
          <w:color w:val="000000"/>
        </w:rPr>
        <w:t xml:space="preserve"> the application of any applicant for </w:t>
      </w:r>
      <w:r w:rsidR="00FC760E">
        <w:rPr>
          <w:color w:val="000000"/>
        </w:rPr>
        <w:t>three</w:t>
      </w:r>
      <w:r>
        <w:rPr>
          <w:color w:val="000000"/>
        </w:rPr>
        <w:t xml:space="preserve"> years from the date of </w:t>
      </w:r>
      <w:r w:rsidR="00FC760E">
        <w:rPr>
          <w:color w:val="000000"/>
        </w:rPr>
        <w:t xml:space="preserve">an </w:t>
      </w:r>
      <w:r>
        <w:rPr>
          <w:color w:val="000000"/>
        </w:rPr>
        <w:t>eviction</w:t>
      </w:r>
      <w:r w:rsidR="00FC760E">
        <w:rPr>
          <w:color w:val="000000"/>
        </w:rPr>
        <w:t xml:space="preserve"> with good rental history, without good rental history the applicant will be denied for five years from the </w:t>
      </w:r>
      <w:r w:rsidR="00B842A0">
        <w:rPr>
          <w:color w:val="000000"/>
        </w:rPr>
        <w:t xml:space="preserve">date of the </w:t>
      </w:r>
      <w:r w:rsidR="00FC760E">
        <w:rPr>
          <w:color w:val="000000"/>
        </w:rPr>
        <w:t>eviction,</w:t>
      </w:r>
      <w:r>
        <w:rPr>
          <w:color w:val="000000"/>
        </w:rPr>
        <w:t xml:space="preserve"> </w:t>
      </w:r>
      <w:r w:rsidR="00FC760E">
        <w:rPr>
          <w:color w:val="000000"/>
        </w:rPr>
        <w:t>i</w:t>
      </w:r>
      <w:r>
        <w:rPr>
          <w:color w:val="000000"/>
        </w:rPr>
        <w:t>f any household member has been evicted from any federally assisted housing for drug-related criminal activity</w:t>
      </w:r>
      <w:r w:rsidR="00FC760E">
        <w:rPr>
          <w:color w:val="000000"/>
        </w:rPr>
        <w:t xml:space="preserve"> the applicant will be denied for five years from the eviction</w:t>
      </w:r>
      <w:r>
        <w:rPr>
          <w:color w:val="000000"/>
        </w:rPr>
        <w:t>. However, HADCO may admit the household if the HADCO determines that:</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The evicted household member who engaged in drug-related criminal activity has successfully completed a supervised drug rehabilitation program approved by the HADCO, or</w:t>
      </w:r>
    </w:p>
    <w:p w:rsidR="00305180" w:rsidRDefault="00305180">
      <w:pPr>
        <w:autoSpaceDE w:val="0"/>
        <w:autoSpaceDN w:val="0"/>
        <w:adjustRightInd w:val="0"/>
        <w:ind w:left="864"/>
        <w:jc w:val="both"/>
        <w:rPr>
          <w:color w:val="000000"/>
        </w:rPr>
      </w:pPr>
      <w:r>
        <w:rPr>
          <w:color w:val="000000"/>
        </w:rPr>
        <w:t>- The circumstances leading to the eviction no longer exist (for example, the</w:t>
      </w:r>
    </w:p>
    <w:p w:rsidR="00305180" w:rsidRDefault="00305180">
      <w:pPr>
        <w:pStyle w:val="BodyTextIndent"/>
        <w:rPr>
          <w:sz w:val="24"/>
        </w:rPr>
      </w:pPr>
      <w:proofErr w:type="gramStart"/>
      <w:r>
        <w:rPr>
          <w:sz w:val="24"/>
        </w:rPr>
        <w:t>criminal</w:t>
      </w:r>
      <w:proofErr w:type="gramEnd"/>
      <w:r>
        <w:rPr>
          <w:sz w:val="24"/>
        </w:rPr>
        <w:t xml:space="preserve"> household member has died or is imprisoned).</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jc w:val="both"/>
        <w:rPr>
          <w:color w:val="000000"/>
        </w:rPr>
      </w:pPr>
      <w:r>
        <w:rPr>
          <w:color w:val="000000"/>
        </w:rPr>
        <w:t>• HADCO is required to reject the application of a household if HADCO determines that:</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Any household member is currently engaging in illegal use of a drug; or</w:t>
      </w:r>
    </w:p>
    <w:p w:rsidR="00305180" w:rsidRDefault="00305180">
      <w:pPr>
        <w:autoSpaceDE w:val="0"/>
        <w:autoSpaceDN w:val="0"/>
        <w:adjustRightInd w:val="0"/>
        <w:ind w:left="864"/>
        <w:jc w:val="both"/>
        <w:rPr>
          <w:color w:val="000000"/>
        </w:rPr>
      </w:pPr>
      <w:r>
        <w:rPr>
          <w:color w:val="000000"/>
        </w:rPr>
        <w:t>- HADCO has reasonable cause to believe that a household member’s illegal use or pattern of illegal use of a drug may threaten the health, safety, or right to peaceful enjoyment of the premises by other residents; or</w:t>
      </w:r>
    </w:p>
    <w:p w:rsidR="00305180" w:rsidRDefault="00305180">
      <w:pPr>
        <w:autoSpaceDE w:val="0"/>
        <w:autoSpaceDN w:val="0"/>
        <w:adjustRightInd w:val="0"/>
        <w:ind w:left="864"/>
        <w:jc w:val="both"/>
        <w:rPr>
          <w:color w:val="000000"/>
        </w:rPr>
      </w:pPr>
      <w:r>
        <w:rPr>
          <w:color w:val="000000"/>
        </w:rPr>
        <w:t>- Any household member has ever been convicted of manufacture or production of methamphetamine on any premises; or</w:t>
      </w:r>
    </w:p>
    <w:p w:rsidR="00305180" w:rsidRDefault="00305180">
      <w:pPr>
        <w:autoSpaceDE w:val="0"/>
        <w:autoSpaceDN w:val="0"/>
        <w:adjustRightInd w:val="0"/>
        <w:ind w:left="864"/>
        <w:jc w:val="both"/>
        <w:rPr>
          <w:color w:val="000000"/>
        </w:rPr>
      </w:pPr>
      <w:r>
        <w:rPr>
          <w:color w:val="000000"/>
        </w:rPr>
        <w:t>- Any member of the household is subject to a registration requirement under a State sex offender registration program; or</w:t>
      </w:r>
    </w:p>
    <w:p w:rsidR="00305180" w:rsidRDefault="00305180">
      <w:pPr>
        <w:autoSpaceDE w:val="0"/>
        <w:autoSpaceDN w:val="0"/>
        <w:adjustRightInd w:val="0"/>
        <w:ind w:left="864"/>
        <w:jc w:val="both"/>
      </w:pPr>
      <w:r>
        <w:t>- Any member of the household’s abuse or pattern of abuse of alcohol may threaten the health, safety, or right to peaceful enjoyment of the premises by other residents.</w:t>
      </w:r>
    </w:p>
    <w:p w:rsidR="00305180" w:rsidRDefault="00305180">
      <w:pPr>
        <w:autoSpaceDE w:val="0"/>
        <w:autoSpaceDN w:val="0"/>
        <w:adjustRightInd w:val="0"/>
        <w:ind w:left="864"/>
        <w:jc w:val="both"/>
        <w:rPr>
          <w:color w:val="000000"/>
        </w:rPr>
      </w:pPr>
    </w:p>
    <w:p w:rsidR="00305180" w:rsidRDefault="00305180">
      <w:pPr>
        <w:pStyle w:val="BodyText2"/>
        <w:rPr>
          <w:sz w:val="24"/>
        </w:rPr>
      </w:pPr>
      <w:r>
        <w:rPr>
          <w:sz w:val="24"/>
        </w:rPr>
        <w:t>(k) An applicant’s intentional misrepresentation of information related to eligibility, preference for admission, housing history, allowances, family composition or rent will result in rejection. Unintentional mistakes that do not confer any advantage to the applicant will not be considered misrepresentations.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(l) Applicants must be able to demonstrate the ability and willingness to comply with the terms of HADCO’s lease, either alone or with assistance that they can demonstrate they will have at the time of admission.  Availability of assistance is subject to verification by HADCO.</w:t>
      </w:r>
    </w:p>
    <w:p w:rsidR="00305180" w:rsidRDefault="00305180">
      <w:pPr>
        <w:autoSpaceDE w:val="0"/>
        <w:autoSpaceDN w:val="0"/>
        <w:adjustRightInd w:val="0"/>
        <w:jc w:val="both"/>
        <w:rPr>
          <w:color w:val="000000"/>
          <w:u w:val="single"/>
        </w:rPr>
      </w:pPr>
    </w:p>
    <w:p w:rsidR="00305180" w:rsidRDefault="00305180">
      <w:pPr>
        <w:autoSpaceDE w:val="0"/>
        <w:autoSpaceDN w:val="0"/>
        <w:adjustRightInd w:val="0"/>
        <w:jc w:val="both"/>
        <w:rPr>
          <w:color w:val="000000"/>
          <w:u w:val="single"/>
        </w:rPr>
      </w:pPr>
      <w:r>
        <w:rPr>
          <w:color w:val="000000"/>
          <w:u w:val="single"/>
        </w:rPr>
        <w:t>Screening applicants who claim mitigating circumstances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 If negative information is received about an applicant, HADCO shall consider the time, nature, and extent of the applicant’s conduct and to factors that might indicate a reasonable probability of favorable future conduct. To be considered, mitigating circumstances must be verifiable.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(b) Mitigating circumstances are facts relating to the applicant’s negative rental history or behavior, that, when verified, indicate: (1) the reason for the unsuitable rental history and/or behavior; and (2) that the reason for the unsuitable rental history and behavior is no longer in effect or is under control, </w:t>
      </w:r>
      <w:r>
        <w:rPr>
          <w:b/>
          <w:color w:val="000000"/>
        </w:rPr>
        <w:t xml:space="preserve">AND </w:t>
      </w:r>
      <w:r>
        <w:rPr>
          <w:color w:val="000000"/>
        </w:rPr>
        <w:t>applicant’s prospect for lease compliance is an acceptable one, justifying admission. Mitigating circumstances would overcome or outweigh information already gathered in the screening process.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(c) If the applicant asserts that mitigating circumstances relate to a change in disability, medical condition or treatment, HADCO shall refer such information to persons qualified to evaluate the evidence and verify the mitigating circumstance. HADCO shall also have the right to request further information to verify the mitigating circumstance. Inquiries will be limited to the information necessary to verify the mitigating circumstances or, in the case of a person</w:t>
      </w:r>
    </w:p>
    <w:p w:rsidR="00305180" w:rsidRDefault="00305180">
      <w:pPr>
        <w:autoSpaceDE w:val="0"/>
        <w:autoSpaceDN w:val="0"/>
        <w:adjustRightInd w:val="0"/>
        <w:jc w:val="both"/>
        <w:rPr>
          <w:color w:val="000000"/>
        </w:rPr>
      </w:pPr>
      <w:proofErr w:type="gramStart"/>
      <w:r>
        <w:rPr>
          <w:color w:val="000000"/>
        </w:rPr>
        <w:t>with</w:t>
      </w:r>
      <w:proofErr w:type="gramEnd"/>
      <w:r>
        <w:rPr>
          <w:color w:val="000000"/>
        </w:rPr>
        <w:t xml:space="preserve"> disabilities, to verify a reasonable accommodation.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(d) Examples of mitigating circumstances might include:</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1. Evidence of successful rehabilitation;</w:t>
      </w:r>
    </w:p>
    <w:p w:rsidR="00305180" w:rsidRDefault="00305180">
      <w:pPr>
        <w:autoSpaceDE w:val="0"/>
        <w:autoSpaceDN w:val="0"/>
        <w:adjustRightInd w:val="0"/>
        <w:ind w:left="864"/>
        <w:jc w:val="both"/>
        <w:rPr>
          <w:color w:val="000000"/>
        </w:rPr>
      </w:pPr>
      <w:r>
        <w:rPr>
          <w:color w:val="000000"/>
        </w:rPr>
        <w:t>2. Evidence of the applicant family’s participation in social service or other</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appropriate</w:t>
      </w:r>
      <w:proofErr w:type="gramEnd"/>
      <w:r>
        <w:rPr>
          <w:color w:val="000000"/>
        </w:rPr>
        <w:t xml:space="preserve"> counseling service; or</w:t>
      </w:r>
    </w:p>
    <w:p w:rsidR="00305180" w:rsidRDefault="00305180">
      <w:pPr>
        <w:autoSpaceDE w:val="0"/>
        <w:autoSpaceDN w:val="0"/>
        <w:adjustRightInd w:val="0"/>
        <w:ind w:left="864"/>
        <w:jc w:val="both"/>
        <w:rPr>
          <w:color w:val="000000"/>
        </w:rPr>
      </w:pPr>
      <w:r>
        <w:rPr>
          <w:color w:val="000000"/>
        </w:rPr>
        <w:t>3. Evidence of successful and sustained modification of previous disqualifying</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behavior</w:t>
      </w:r>
      <w:proofErr w:type="gramEnd"/>
      <w:r>
        <w:rPr>
          <w:color w:val="000000"/>
        </w:rPr>
        <w:t>.</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jc w:val="both"/>
        <w:rPr>
          <w:color w:val="000000"/>
        </w:rPr>
      </w:pPr>
      <w:r>
        <w:rPr>
          <w:color w:val="000000"/>
        </w:rPr>
        <w:lastRenderedPageBreak/>
        <w:t>(e) Consideration of mitigating circumstances does not guarantee the applicant will qualify for admission. HADCO will consider such circumstances in light of:</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xml:space="preserve">1. </w:t>
      </w:r>
      <w:proofErr w:type="gramStart"/>
      <w:r>
        <w:rPr>
          <w:color w:val="000000"/>
        </w:rPr>
        <w:t>the</w:t>
      </w:r>
      <w:proofErr w:type="gramEnd"/>
      <w:r>
        <w:rPr>
          <w:color w:val="000000"/>
        </w:rPr>
        <w:t xml:space="preserve"> applicant’s ability to verify the mitigating circumstances and prospects for improved future</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behavior</w:t>
      </w:r>
      <w:proofErr w:type="gramEnd"/>
      <w:r>
        <w:rPr>
          <w:color w:val="000000"/>
        </w:rPr>
        <w:t>;</w:t>
      </w:r>
    </w:p>
    <w:p w:rsidR="00305180" w:rsidRDefault="00305180">
      <w:pPr>
        <w:autoSpaceDE w:val="0"/>
        <w:autoSpaceDN w:val="0"/>
        <w:adjustRightInd w:val="0"/>
        <w:ind w:left="864"/>
        <w:jc w:val="both"/>
        <w:rPr>
          <w:color w:val="000000"/>
        </w:rPr>
      </w:pPr>
      <w:r>
        <w:rPr>
          <w:color w:val="000000"/>
        </w:rPr>
        <w:t xml:space="preserve">2. </w:t>
      </w:r>
      <w:proofErr w:type="gramStart"/>
      <w:r>
        <w:rPr>
          <w:color w:val="000000"/>
        </w:rPr>
        <w:t>the</w:t>
      </w:r>
      <w:proofErr w:type="gramEnd"/>
      <w:r>
        <w:rPr>
          <w:color w:val="000000"/>
        </w:rPr>
        <w:t xml:space="preserve"> applicant’s overall performance with respect to all the screening requirements; and</w:t>
      </w:r>
    </w:p>
    <w:p w:rsidR="00305180" w:rsidRDefault="00305180">
      <w:pPr>
        <w:autoSpaceDE w:val="0"/>
        <w:autoSpaceDN w:val="0"/>
        <w:adjustRightInd w:val="0"/>
        <w:ind w:left="864"/>
        <w:jc w:val="both"/>
        <w:rPr>
          <w:color w:val="000000"/>
        </w:rPr>
      </w:pPr>
      <w:r>
        <w:rPr>
          <w:color w:val="000000"/>
        </w:rPr>
        <w:t xml:space="preserve">3. </w:t>
      </w:r>
      <w:proofErr w:type="gramStart"/>
      <w:r>
        <w:rPr>
          <w:color w:val="000000"/>
        </w:rPr>
        <w:t>the</w:t>
      </w:r>
      <w:proofErr w:type="gramEnd"/>
      <w:r>
        <w:rPr>
          <w:color w:val="000000"/>
        </w:rPr>
        <w:t xml:space="preserve"> nature and seriousness of any criminal activity, especially drug related criminal activity that</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appears</w:t>
      </w:r>
      <w:proofErr w:type="gramEnd"/>
      <w:r>
        <w:rPr>
          <w:color w:val="000000"/>
        </w:rPr>
        <w:t xml:space="preserve"> in the applicant’s record.</w:t>
      </w:r>
    </w:p>
    <w:p w:rsidR="00305180" w:rsidRDefault="00305180">
      <w:pPr>
        <w:autoSpaceDE w:val="0"/>
        <w:autoSpaceDN w:val="0"/>
        <w:adjustRightInd w:val="0"/>
        <w:ind w:left="864"/>
        <w:jc w:val="both"/>
        <w:rPr>
          <w:color w:val="000000"/>
          <w:u w:val="single"/>
        </w:rPr>
      </w:pPr>
    </w:p>
    <w:p w:rsidR="00305180" w:rsidRDefault="00305180">
      <w:pPr>
        <w:autoSpaceDE w:val="0"/>
        <w:autoSpaceDN w:val="0"/>
        <w:adjustRightInd w:val="0"/>
        <w:jc w:val="both"/>
        <w:rPr>
          <w:color w:val="000000"/>
          <w:u w:val="single"/>
        </w:rPr>
      </w:pPr>
      <w:r>
        <w:rPr>
          <w:color w:val="000000"/>
          <w:u w:val="single"/>
        </w:rPr>
        <w:t>Qualified and Unqualified Applicants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 Verified information will be analyzed and a determination made with respect to:</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rPr>
        <w:t>1. Eligibility of the applicant as a family;</w:t>
      </w:r>
    </w:p>
    <w:p w:rsidR="00305180" w:rsidRDefault="00305180">
      <w:pPr>
        <w:autoSpaceDE w:val="0"/>
        <w:autoSpaceDN w:val="0"/>
        <w:adjustRightInd w:val="0"/>
        <w:ind w:left="864"/>
        <w:jc w:val="both"/>
        <w:rPr>
          <w:color w:val="000000"/>
        </w:rPr>
      </w:pPr>
      <w:r>
        <w:rPr>
          <w:color w:val="000000"/>
        </w:rPr>
        <w:t>2. Eligibility of the applicant with respect to income limits for admission;</w:t>
      </w:r>
    </w:p>
    <w:p w:rsidR="00305180" w:rsidRDefault="00305180">
      <w:pPr>
        <w:autoSpaceDE w:val="0"/>
        <w:autoSpaceDN w:val="0"/>
        <w:adjustRightInd w:val="0"/>
        <w:ind w:left="864"/>
        <w:jc w:val="both"/>
        <w:rPr>
          <w:color w:val="000000"/>
        </w:rPr>
      </w:pPr>
      <w:r>
        <w:rPr>
          <w:color w:val="000000"/>
        </w:rPr>
        <w:t>3. Eligibility of the applicant with respect to citizenship or eligible immigration status;</w:t>
      </w:r>
    </w:p>
    <w:p w:rsidR="00305180" w:rsidRDefault="00305180">
      <w:pPr>
        <w:autoSpaceDE w:val="0"/>
        <w:autoSpaceDN w:val="0"/>
        <w:adjustRightInd w:val="0"/>
        <w:ind w:left="864"/>
        <w:jc w:val="both"/>
        <w:rPr>
          <w:color w:val="000000"/>
        </w:rPr>
      </w:pPr>
      <w:r>
        <w:rPr>
          <w:color w:val="000000"/>
        </w:rPr>
        <w:t>4. Unit size required for and selected by the family;</w:t>
      </w:r>
    </w:p>
    <w:p w:rsidR="00305180" w:rsidRDefault="00305180">
      <w:pPr>
        <w:autoSpaceDE w:val="0"/>
        <w:autoSpaceDN w:val="0"/>
        <w:adjustRightInd w:val="0"/>
        <w:ind w:left="864"/>
        <w:jc w:val="both"/>
        <w:rPr>
          <w:color w:val="000000"/>
        </w:rPr>
      </w:pPr>
      <w:r>
        <w:rPr>
          <w:color w:val="000000"/>
        </w:rPr>
        <w:t>5. Preference category (if any) to which the family is entitled; and</w:t>
      </w:r>
    </w:p>
    <w:p w:rsidR="00305180" w:rsidRDefault="00305180">
      <w:pPr>
        <w:autoSpaceDE w:val="0"/>
        <w:autoSpaceDN w:val="0"/>
        <w:adjustRightInd w:val="0"/>
        <w:ind w:left="864"/>
        <w:jc w:val="both"/>
        <w:rPr>
          <w:color w:val="000000"/>
        </w:rPr>
      </w:pPr>
      <w:r>
        <w:rPr>
          <w:color w:val="000000"/>
        </w:rPr>
        <w:t>6. Qualification of the applicant with respect to the Selection Criteria.</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jc w:val="both"/>
        <w:rPr>
          <w:color w:val="000000"/>
        </w:rPr>
      </w:pPr>
      <w:r>
        <w:rPr>
          <w:color w:val="000000"/>
        </w:rPr>
        <w:t>(b) Qualified families will be notified by HADCO of the approximate date of admission and approximate waiting period. The date stated by HADCO is an estimate and does not guarantee that applicants can expect to be housed by that date.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(c) Unqualified applicants will be promptly notified by a Notice of Rejection from HADCO, stating the basis for such determination and offering an opportunity for informal hearing (see </w:t>
      </w:r>
      <w:r>
        <w:rPr>
          <w:b/>
          <w:color w:val="000000"/>
        </w:rPr>
        <w:t>Procedure for Informal Review for Rejected Applicants)</w:t>
      </w:r>
      <w:r>
        <w:rPr>
          <w:color w:val="000000"/>
        </w:rPr>
        <w:t>. Informal hearings for applicants are different from the resident grievance process. Applicants are not entitled to use of the resident grievance process.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(d) Applicants known to have a disability that are eligible but fail to meet the Selection </w:t>
      </w:r>
      <w:proofErr w:type="gramStart"/>
      <w:r>
        <w:rPr>
          <w:color w:val="000000"/>
        </w:rPr>
        <w:t>Criteria,</w:t>
      </w:r>
      <w:proofErr w:type="gramEnd"/>
      <w:r>
        <w:rPr>
          <w:color w:val="000000"/>
        </w:rPr>
        <w:t xml:space="preserve"> will be offered an opportunity for a second meeting to determine whether mitigating circumstances or reasonable accommodations will make it possible for them to be housed in accordance with the Screening Procedures.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Occupancy Guidelines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 xml:space="preserve">Units shall be occupied by families of the appropriate size. This policy maintains the usefulness of the units, while preserving them from excessive wear and tear and under-utilization. </w:t>
      </w:r>
    </w:p>
    <w:p w:rsidR="00305180" w:rsidRDefault="00305180">
      <w:pPr>
        <w:autoSpaceDE w:val="0"/>
        <w:autoSpaceDN w:val="0"/>
        <w:adjustRightInd w:val="0"/>
        <w:jc w:val="both"/>
        <w:rPr>
          <w:color w:val="000000"/>
        </w:rPr>
      </w:pPr>
    </w:p>
    <w:p w:rsidR="00305180" w:rsidRDefault="00305180">
      <w:pPr>
        <w:pStyle w:val="Heading5"/>
        <w:jc w:val="both"/>
        <w:rPr>
          <w:b w:val="0"/>
          <w:sz w:val="24"/>
        </w:rPr>
      </w:pPr>
      <w:r>
        <w:rPr>
          <w:sz w:val="24"/>
        </w:rPr>
        <w:t>Minimum and Maximum-Number-of-Persons-Per Unit Standard</w:t>
      </w:r>
    </w:p>
    <w:p w:rsidR="00305180" w:rsidRDefault="00305180">
      <w:pPr>
        <w:autoSpaceDE w:val="0"/>
        <w:autoSpaceDN w:val="0"/>
        <w:adjustRightInd w:val="0"/>
        <w:jc w:val="both"/>
        <w:rPr>
          <w:b/>
          <w:color w:val="000000"/>
          <w:u w:val="single"/>
        </w:rPr>
      </w:pPr>
    </w:p>
    <w:p w:rsidR="00305180" w:rsidRDefault="00305180">
      <w:pPr>
        <w:autoSpaceDE w:val="0"/>
        <w:autoSpaceDN w:val="0"/>
        <w:adjustRightInd w:val="0"/>
        <w:jc w:val="both"/>
        <w:rPr>
          <w:color w:val="000000"/>
        </w:rPr>
      </w:pPr>
      <w:r>
        <w:rPr>
          <w:color w:val="000000"/>
          <w:u w:val="single"/>
        </w:rPr>
        <w:t>Number of Bedrooms</w:t>
      </w:r>
      <w:r>
        <w:rPr>
          <w:color w:val="000000"/>
        </w:rPr>
        <w:t xml:space="preserve">              </w:t>
      </w:r>
      <w:r>
        <w:rPr>
          <w:color w:val="000000"/>
          <w:u w:val="single"/>
        </w:rPr>
        <w:t xml:space="preserve">Min Persons/Unit </w:t>
      </w:r>
      <w:r>
        <w:rPr>
          <w:color w:val="000000"/>
        </w:rPr>
        <w:t xml:space="preserve">                                            </w:t>
      </w:r>
      <w:r>
        <w:rPr>
          <w:color w:val="000000"/>
          <w:u w:val="single"/>
        </w:rPr>
        <w:t>Max Persons/Unit</w:t>
      </w:r>
    </w:p>
    <w:p w:rsidR="00305180" w:rsidRDefault="00305180">
      <w:pPr>
        <w:autoSpaceDE w:val="0"/>
        <w:autoSpaceDN w:val="0"/>
        <w:adjustRightInd w:val="0"/>
        <w:jc w:val="both"/>
        <w:rPr>
          <w:color w:val="000000"/>
        </w:rPr>
      </w:pPr>
      <w:r>
        <w:rPr>
          <w:color w:val="000000"/>
        </w:rPr>
        <w:t xml:space="preserve">                                                </w:t>
      </w:r>
      <w:r>
        <w:rPr>
          <w:color w:val="000000"/>
          <w:u w:val="single"/>
        </w:rPr>
        <w:t xml:space="preserve">(Largest Unit Size) </w:t>
      </w:r>
      <w:r>
        <w:rPr>
          <w:color w:val="000000"/>
        </w:rPr>
        <w:t xml:space="preserve">                                        </w:t>
      </w:r>
      <w:r>
        <w:rPr>
          <w:color w:val="000000"/>
          <w:u w:val="single"/>
        </w:rPr>
        <w:t xml:space="preserve"> (Smallest Unit Size)</w:t>
      </w:r>
    </w:p>
    <w:p w:rsidR="00305180" w:rsidRDefault="00305180">
      <w:pPr>
        <w:autoSpaceDE w:val="0"/>
        <w:autoSpaceDN w:val="0"/>
        <w:adjustRightInd w:val="0"/>
        <w:jc w:val="both"/>
        <w:rPr>
          <w:color w:val="000000"/>
        </w:rPr>
      </w:pPr>
      <w:r>
        <w:rPr>
          <w:color w:val="000000"/>
        </w:rPr>
        <w:t xml:space="preserve">0BR                                                    1                                                                  </w:t>
      </w:r>
      <w:proofErr w:type="spellStart"/>
      <w:r>
        <w:rPr>
          <w:color w:val="000000"/>
        </w:rPr>
        <w:t>1</w:t>
      </w:r>
      <w:proofErr w:type="spellEnd"/>
    </w:p>
    <w:p w:rsidR="00305180" w:rsidRDefault="00305180">
      <w:pPr>
        <w:autoSpaceDE w:val="0"/>
        <w:autoSpaceDN w:val="0"/>
        <w:adjustRightInd w:val="0"/>
        <w:jc w:val="both"/>
        <w:rPr>
          <w:color w:val="000000"/>
        </w:rPr>
      </w:pPr>
      <w:r>
        <w:rPr>
          <w:color w:val="000000"/>
        </w:rPr>
        <w:t>1BR                                                    1                                                                  2</w:t>
      </w:r>
    </w:p>
    <w:p w:rsidR="00305180" w:rsidRDefault="00305180">
      <w:pPr>
        <w:autoSpaceDE w:val="0"/>
        <w:autoSpaceDN w:val="0"/>
        <w:adjustRightInd w:val="0"/>
        <w:jc w:val="both"/>
        <w:rPr>
          <w:color w:val="000000"/>
        </w:rPr>
      </w:pPr>
      <w:r>
        <w:rPr>
          <w:color w:val="000000"/>
        </w:rPr>
        <w:t>2BR                                                    2                                                                  4</w:t>
      </w:r>
    </w:p>
    <w:p w:rsidR="00305180" w:rsidRDefault="00305180">
      <w:pPr>
        <w:autoSpaceDE w:val="0"/>
        <w:autoSpaceDN w:val="0"/>
        <w:adjustRightInd w:val="0"/>
        <w:jc w:val="both"/>
        <w:rPr>
          <w:color w:val="000000"/>
        </w:rPr>
      </w:pPr>
      <w:r>
        <w:rPr>
          <w:color w:val="000000"/>
        </w:rPr>
        <w:t>3BR                                                    3                                                                  6</w:t>
      </w:r>
    </w:p>
    <w:p w:rsidR="00305180" w:rsidRDefault="00305180">
      <w:pPr>
        <w:autoSpaceDE w:val="0"/>
        <w:autoSpaceDN w:val="0"/>
        <w:adjustRightInd w:val="0"/>
        <w:jc w:val="both"/>
        <w:rPr>
          <w:color w:val="000000"/>
        </w:rPr>
      </w:pPr>
      <w:r>
        <w:rPr>
          <w:color w:val="000000"/>
        </w:rPr>
        <w:t>4BR                                                    4                                                                  8</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following principles govern the size of unit for which a family will qualify. Generally, two people are expected to share each bedroom, except units will be so assigned that: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 It will not be necessary for persons of different generations or opposite sex, other than husband and wife, to occupy the same bedroom, although they may do so at the request of the family.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(b) Exceptions to the largest permissible unit size may be made in case of reasonable accommodations for a person with disabilities.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(c) Two children of the opposite sex will not be required to share a bedroom, although they may do so at the request of the family.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(d)</w:t>
      </w:r>
      <w:r w:rsidR="00701D12">
        <w:rPr>
          <w:color w:val="000000"/>
        </w:rPr>
        <w:t xml:space="preserve"> An unborn child will </w:t>
      </w:r>
      <w:r>
        <w:rPr>
          <w:color w:val="000000"/>
        </w:rPr>
        <w:t xml:space="preserve">be counted as a person in determining unit size. A single pregnant woman may be assigned to a </w:t>
      </w:r>
      <w:r w:rsidR="00701D12">
        <w:rPr>
          <w:color w:val="000000"/>
        </w:rPr>
        <w:t>two</w:t>
      </w:r>
      <w:r>
        <w:rPr>
          <w:color w:val="000000"/>
        </w:rPr>
        <w:t>-bedroom unit. In determining unit size,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(e) HADCO will count a child who is temporarily away from the home because the child has been placed in foster care, kinship care, or is away at school.</w:t>
      </w:r>
    </w:p>
    <w:p w:rsidR="00305180" w:rsidRDefault="00305180">
      <w:pPr>
        <w:autoSpaceDE w:val="0"/>
        <w:autoSpaceDN w:val="0"/>
        <w:adjustRightInd w:val="0"/>
        <w:jc w:val="both"/>
        <w:rPr>
          <w:color w:val="000000"/>
        </w:rPr>
      </w:pPr>
    </w:p>
    <w:p w:rsidR="00305180" w:rsidRDefault="00305180">
      <w:pPr>
        <w:pStyle w:val="BodyText2"/>
        <w:rPr>
          <w:sz w:val="24"/>
        </w:rPr>
      </w:pPr>
      <w:r>
        <w:rPr>
          <w:sz w:val="24"/>
        </w:rPr>
        <w:t>(f) A single head of household parent shall not be required to share a bedroom with his/her child, although they may do so at the request of the family.</w:t>
      </w:r>
    </w:p>
    <w:p w:rsidR="00305180" w:rsidRDefault="00305180">
      <w:pPr>
        <w:pStyle w:val="BodyText2"/>
        <w:rPr>
          <w:sz w:val="24"/>
        </w:rPr>
      </w:pPr>
    </w:p>
    <w:p w:rsidR="00305180" w:rsidRDefault="00305180">
      <w:pPr>
        <w:autoSpaceDE w:val="0"/>
        <w:autoSpaceDN w:val="0"/>
        <w:adjustRightInd w:val="0"/>
        <w:jc w:val="both"/>
        <w:rPr>
          <w:color w:val="000000"/>
        </w:rPr>
      </w:pPr>
      <w:r>
        <w:rPr>
          <w:color w:val="000000"/>
        </w:rPr>
        <w:t>(g) A live-in attendant may be assigned a bedroom. Single elderly or disabled residents with live-in attendants may be assigned one or two bedroom unit.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Local Housing Code of two persons per bedroom will be the standard for the smallest unit a family may be offered. Individual housing units with very small or very large bedrooms or other specific situations that inhibit or encourage lower or higher levels of occupancy may be permitted to establish lower or higher occupancy levels so long as the occupancy levels will not discriminate on the basis of familial status.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largest unit size that a family may be offered would provide no more than one bedroom per family member, taking into account family size and composition.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When a family applies for housing and when the waiting list is updated, some families will qualify for more than one unit size. These applicants will choose the waiting </w:t>
      </w:r>
      <w:proofErr w:type="spellStart"/>
      <w:r>
        <w:rPr>
          <w:color w:val="000000"/>
        </w:rPr>
        <w:t>sublist</w:t>
      </w:r>
      <w:proofErr w:type="spellEnd"/>
      <w:r>
        <w:rPr>
          <w:color w:val="000000"/>
        </w:rPr>
        <w:t xml:space="preserve"> where they wish to receive a unit offer. Based on the family’s choice, they will be placed on the appropriate waiting </w:t>
      </w:r>
      <w:proofErr w:type="spellStart"/>
      <w:r>
        <w:rPr>
          <w:color w:val="000000"/>
        </w:rPr>
        <w:t>sublist</w:t>
      </w:r>
      <w:proofErr w:type="spellEnd"/>
      <w:r>
        <w:rPr>
          <w:color w:val="000000"/>
        </w:rPr>
        <w:t xml:space="preserve"> by unit size.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If a family opts for a smaller unit size than would normally be assigned under the largest unit size standard (because, for example, the list is moving faster) the file will be documented and placed in the appropriate list.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When a family is actually offered a unit, if they no longer qualify for the unit size where they were </w:t>
      </w:r>
      <w:proofErr w:type="spellStart"/>
      <w:r>
        <w:rPr>
          <w:color w:val="000000"/>
        </w:rPr>
        <w:t>sublisted</w:t>
      </w:r>
      <w:proofErr w:type="spellEnd"/>
      <w:r>
        <w:rPr>
          <w:color w:val="000000"/>
        </w:rPr>
        <w:t xml:space="preserve">, they will be moved to the appropriate </w:t>
      </w:r>
      <w:proofErr w:type="spellStart"/>
      <w:r>
        <w:rPr>
          <w:color w:val="000000"/>
        </w:rPr>
        <w:t>sublist</w:t>
      </w:r>
      <w:proofErr w:type="spellEnd"/>
      <w:r>
        <w:rPr>
          <w:color w:val="000000"/>
        </w:rPr>
        <w:t>, retaining their preferences and date and time of application. This may mean they may have to wait longer for a unit offer.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HADCO shall change the family’s </w:t>
      </w:r>
      <w:proofErr w:type="spellStart"/>
      <w:r>
        <w:rPr>
          <w:color w:val="000000"/>
        </w:rPr>
        <w:t>sublist</w:t>
      </w:r>
      <w:proofErr w:type="spellEnd"/>
      <w:r>
        <w:rPr>
          <w:color w:val="000000"/>
        </w:rPr>
        <w:t xml:space="preserve"> at any time while the family is on the waiting list at the family’s request.</w:t>
      </w:r>
    </w:p>
    <w:p w:rsidR="00305180" w:rsidRDefault="00305180">
      <w:pPr>
        <w:autoSpaceDE w:val="0"/>
        <w:autoSpaceDN w:val="0"/>
        <w:adjustRightInd w:val="0"/>
        <w:jc w:val="both"/>
        <w:rPr>
          <w:color w:val="000000"/>
        </w:rPr>
      </w:pPr>
    </w:p>
    <w:p w:rsidR="00305180" w:rsidRDefault="00305180">
      <w:pPr>
        <w:pStyle w:val="Heading5"/>
        <w:rPr>
          <w:sz w:val="24"/>
        </w:rPr>
      </w:pPr>
      <w:r>
        <w:rPr>
          <w:sz w:val="24"/>
        </w:rPr>
        <w:t>III.</w:t>
      </w:r>
      <w:r>
        <w:rPr>
          <w:b w:val="0"/>
          <w:sz w:val="24"/>
        </w:rPr>
        <w:t xml:space="preserve"> </w:t>
      </w:r>
      <w:r>
        <w:rPr>
          <w:sz w:val="24"/>
        </w:rPr>
        <w:t>Tenant Selection and Assignment Plan</w:t>
      </w:r>
    </w:p>
    <w:p w:rsidR="00305180" w:rsidRDefault="00305180">
      <w:pPr>
        <w:autoSpaceDE w:val="0"/>
        <w:autoSpaceDN w:val="0"/>
        <w:adjustRightInd w:val="0"/>
        <w:ind w:left="360"/>
        <w:jc w:val="both"/>
        <w:rPr>
          <w:b/>
          <w:color w:val="000000"/>
        </w:rPr>
      </w:pPr>
    </w:p>
    <w:p w:rsidR="00305180" w:rsidRDefault="00305180">
      <w:pPr>
        <w:autoSpaceDE w:val="0"/>
        <w:autoSpaceDN w:val="0"/>
        <w:adjustRightInd w:val="0"/>
        <w:jc w:val="both"/>
        <w:rPr>
          <w:b/>
          <w:color w:val="000000"/>
        </w:rPr>
      </w:pPr>
      <w:r>
        <w:rPr>
          <w:b/>
          <w:color w:val="000000"/>
        </w:rPr>
        <w:t>Organizing the Waiting List</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u w:val="single"/>
        </w:rPr>
      </w:pPr>
      <w:r>
        <w:rPr>
          <w:color w:val="000000"/>
          <w:u w:val="single"/>
        </w:rPr>
        <w:t>Community-wide Waiting List</w:t>
      </w:r>
    </w:p>
    <w:p w:rsidR="00305180" w:rsidRDefault="00305180">
      <w:pPr>
        <w:autoSpaceDE w:val="0"/>
        <w:autoSpaceDN w:val="0"/>
        <w:adjustRightInd w:val="0"/>
        <w:jc w:val="both"/>
        <w:rPr>
          <w:color w:val="000000"/>
          <w:u w:val="single"/>
        </w:rPr>
      </w:pPr>
    </w:p>
    <w:p w:rsidR="00305180" w:rsidRDefault="00305180">
      <w:pPr>
        <w:autoSpaceDE w:val="0"/>
        <w:autoSpaceDN w:val="0"/>
        <w:adjustRightInd w:val="0"/>
        <w:jc w:val="both"/>
        <w:rPr>
          <w:color w:val="000000"/>
          <w:u w:val="single"/>
        </w:rPr>
      </w:pPr>
      <w:r>
        <w:rPr>
          <w:color w:val="000000"/>
          <w:u w:val="single"/>
        </w:rPr>
        <w:lastRenderedPageBreak/>
        <w:t>HADCO has a Community-wide Sub-jurisdiction wait list.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It is HADCO’s policy each applicant shall be assigned his/her appropriate place on a </w:t>
      </w:r>
      <w:proofErr w:type="spellStart"/>
      <w:r>
        <w:rPr>
          <w:color w:val="000000"/>
        </w:rPr>
        <w:t>sublist</w:t>
      </w:r>
      <w:proofErr w:type="spellEnd"/>
      <w:r>
        <w:rPr>
          <w:color w:val="000000"/>
        </w:rPr>
        <w:t xml:space="preserve"> in sequence based upon: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 </w:t>
      </w:r>
      <w:proofErr w:type="gramStart"/>
      <w:r>
        <w:rPr>
          <w:color w:val="000000"/>
        </w:rPr>
        <w:t>type</w:t>
      </w:r>
      <w:proofErr w:type="gramEnd"/>
      <w:r>
        <w:rPr>
          <w:color w:val="000000"/>
        </w:rPr>
        <w:t xml:space="preserve"> and size of unit needed and selected by the family (e.g. general occupancy building, accessible or non-accessible unit, number of bedrooms);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 </w:t>
      </w:r>
      <w:proofErr w:type="gramStart"/>
      <w:r>
        <w:rPr>
          <w:color w:val="000000"/>
        </w:rPr>
        <w:t>date</w:t>
      </w:r>
      <w:proofErr w:type="gramEnd"/>
      <w:r>
        <w:rPr>
          <w:color w:val="000000"/>
        </w:rPr>
        <w:t xml:space="preserve"> and time the application is received.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Sub-Jurisdiction requested by applicant.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will maintain its waiting list in the form that records the type and size of unit needed, each applicant’s priority/preference status, the date and time of application, and the race and ethnicity of the family head.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Site-based Waiting List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If HADCO elects to operate Site-based Waiting Lists, the application for such lists shall be a part of the HADCO’s Annual Plan.</w:t>
      </w:r>
    </w:p>
    <w:p w:rsidR="00305180" w:rsidRDefault="00305180">
      <w:pPr>
        <w:autoSpaceDE w:val="0"/>
        <w:autoSpaceDN w:val="0"/>
        <w:adjustRightInd w:val="0"/>
        <w:jc w:val="both"/>
        <w:rPr>
          <w:color w:val="000000"/>
        </w:rPr>
      </w:pPr>
    </w:p>
    <w:p w:rsidR="00305180" w:rsidRDefault="00305180">
      <w:pPr>
        <w:pStyle w:val="Heading4"/>
        <w:numPr>
          <w:ilvl w:val="0"/>
          <w:numId w:val="0"/>
        </w:numPr>
        <w:rPr>
          <w:sz w:val="24"/>
        </w:rPr>
      </w:pPr>
      <w:r>
        <w:rPr>
          <w:sz w:val="24"/>
        </w:rPr>
        <w:t>Unit Offers to Applicants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To assure equal opportunity and nondiscrimination on grounds of race, color, sex, religion, national origin, disability or familial status the following criteria will be used to make unit offers.</w:t>
      </w:r>
    </w:p>
    <w:p w:rsidR="00305180" w:rsidRDefault="00305180">
      <w:pPr>
        <w:autoSpaceDE w:val="0"/>
        <w:autoSpaceDN w:val="0"/>
        <w:adjustRightInd w:val="0"/>
        <w:jc w:val="both"/>
        <w:rPr>
          <w:color w:val="000000"/>
        </w:rPr>
      </w:pPr>
    </w:p>
    <w:p w:rsidR="00305180" w:rsidRDefault="00305180">
      <w:pPr>
        <w:autoSpaceDE w:val="0"/>
        <w:autoSpaceDN w:val="0"/>
        <w:adjustRightInd w:val="0"/>
        <w:ind w:left="576"/>
        <w:jc w:val="both"/>
        <w:rPr>
          <w:color w:val="000000"/>
        </w:rPr>
      </w:pPr>
      <w:r>
        <w:rPr>
          <w:color w:val="000000"/>
        </w:rPr>
        <w:t>• The first qualified applicant in sequence on the waiting list is made one offer of a unit of appropriate size and type. The applicant may refuse the first unit offered without losing their place on the wait list.</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xml:space="preserve">• If after two unit offers, the applicant has not accepted a unit without good </w:t>
      </w:r>
      <w:proofErr w:type="gramStart"/>
      <w:r>
        <w:rPr>
          <w:color w:val="000000"/>
        </w:rPr>
        <w:t>cause,</w:t>
      </w:r>
      <w:proofErr w:type="gramEnd"/>
      <w:r>
        <w:rPr>
          <w:color w:val="000000"/>
        </w:rPr>
        <w:t xml:space="preserve"> they will be dropped to the back of the waiting list.</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Applicants who are removed from the waiting list because they refuse two unit offers without good cause will be either removed or dropped to the back of the waiting list.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will first match the unit available to the highest ranking applicant for a unit of that size, type and special features (if any), taking into account any designated housing (if applicable). Preferences will then be used to determine the order of selection from the waiting list. If two applicants need the same type and size of unit and have the same preference status, the applicant with the earlier date and time of application or lower application number will receive the earliest offer.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In the selection of a family for a unit with accessible features, HADCO will give preference to families that include a person with disabilities who can benefit from the unit features.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The applicant must accept the vacancy offered within </w:t>
      </w:r>
      <w:r>
        <w:rPr>
          <w:b/>
          <w:color w:val="000000"/>
        </w:rPr>
        <w:t>5 working days</w:t>
      </w:r>
      <w:r>
        <w:rPr>
          <w:color w:val="000000"/>
        </w:rPr>
        <w:t xml:space="preserve"> </w:t>
      </w:r>
      <w:r w:rsidR="00955CBD">
        <w:rPr>
          <w:color w:val="000000"/>
        </w:rPr>
        <w:t xml:space="preserve">by scheduling a leasing date within a reasonable time no greater than 30 days </w:t>
      </w:r>
      <w:r>
        <w:rPr>
          <w:color w:val="000000"/>
        </w:rPr>
        <w:t xml:space="preserve">of the date the offer is communicated (by phone, mail, or the method of communication designated by an applicant with disabilities) or be removed from the waiting list.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If more than one unit of the appropriate size and type is available, the first unit to be offered will be the unit that is or will be ready for move-in first. “Ready for move-in” means the unit has no Housing Quality Standard </w:t>
      </w:r>
      <w:r>
        <w:rPr>
          <w:color w:val="000000"/>
        </w:rPr>
        <w:lastRenderedPageBreak/>
        <w:t>deficiencies and has passed a Uniform Physical Condition Inspection (UPCS). If two units are ready for move-in on the same day, the first unit to be offered will be the unit that became vacant first.</w:t>
      </w:r>
    </w:p>
    <w:p w:rsidR="00305180" w:rsidRDefault="00305180">
      <w:pPr>
        <w:autoSpaceDE w:val="0"/>
        <w:autoSpaceDN w:val="0"/>
        <w:adjustRightInd w:val="0"/>
        <w:jc w:val="both"/>
        <w:rPr>
          <w:color w:val="000000"/>
        </w:rPr>
      </w:pPr>
    </w:p>
    <w:p w:rsidR="00305180" w:rsidRDefault="00305180">
      <w:pPr>
        <w:pStyle w:val="Heading4"/>
        <w:numPr>
          <w:ilvl w:val="0"/>
          <w:numId w:val="0"/>
        </w:numPr>
        <w:rPr>
          <w:sz w:val="24"/>
        </w:rPr>
      </w:pPr>
      <w:r>
        <w:rPr>
          <w:sz w:val="24"/>
        </w:rPr>
        <w:t>Removing Applicant Names from the Waiting List</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To ensure vacant units are filled in a timely manner, HADCO needs a waiting list that is accurate. While each applicant must keep HADCO apprised of changes in address, phone number, income or other circumstances, no applicant shall be removed from the waiting list except when one of the following situations occurs:</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1. The applicant receives and accepts an offer of housing;</w:t>
      </w:r>
    </w:p>
    <w:p w:rsidR="00305180" w:rsidRDefault="00305180">
      <w:pPr>
        <w:autoSpaceDE w:val="0"/>
        <w:autoSpaceDN w:val="0"/>
        <w:adjustRightInd w:val="0"/>
        <w:ind w:left="864"/>
        <w:jc w:val="both"/>
        <w:rPr>
          <w:color w:val="000000"/>
        </w:rPr>
      </w:pPr>
      <w:r>
        <w:rPr>
          <w:color w:val="000000"/>
        </w:rPr>
        <w:t>2. The applicant requests that his/her name be removed from the waiting list;</w:t>
      </w:r>
    </w:p>
    <w:p w:rsidR="00305180" w:rsidRDefault="00305180">
      <w:pPr>
        <w:autoSpaceDE w:val="0"/>
        <w:autoSpaceDN w:val="0"/>
        <w:adjustRightInd w:val="0"/>
        <w:ind w:left="864"/>
        <w:jc w:val="both"/>
        <w:rPr>
          <w:color w:val="000000"/>
        </w:rPr>
      </w:pPr>
      <w:r>
        <w:rPr>
          <w:color w:val="000000"/>
        </w:rPr>
        <w:t>3. The applicant is rejected, either because he/she is ineligible for public housing at the time of certification, or because he/she fails to meet the applicant selection criteria; or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The application is withdrawn because HADCO attempted to contact the applicant and was unable to do so. </w:t>
      </w:r>
      <w:r>
        <w:rPr>
          <w:b/>
          <w:color w:val="000000"/>
        </w:rPr>
        <w:t>See Procedure for updating and removing applicants from the waiting list.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Persons who fail to respond to HADCO attempts to contact them because of verified situations related to a disability shall be entitled to reasonable accommodation. In such circumstances HADCO shall reinstate these individuals to their former waiting list positions.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Families whose applications are withdrawn or rejected must reapply for housing when the waiting list is open. </w:t>
      </w:r>
    </w:p>
    <w:p w:rsidR="00305180" w:rsidRDefault="00305180">
      <w:pPr>
        <w:autoSpaceDE w:val="0"/>
        <w:autoSpaceDN w:val="0"/>
        <w:adjustRightInd w:val="0"/>
        <w:jc w:val="both"/>
        <w:rPr>
          <w:color w:val="000000"/>
        </w:rPr>
      </w:pPr>
    </w:p>
    <w:p w:rsidR="00305180" w:rsidRDefault="00305180">
      <w:pPr>
        <w:pStyle w:val="Heading6"/>
      </w:pPr>
      <w:r>
        <w:t>Good Cause for Applicant Refusal of Unit Offer</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If an applicant is willing to accept the unit offered but is unable to move at the time of the offer and presents clear evidence (“good cause”) that acceptance of the offer of a suitable vacancy will result in undue hardship, the applicant will not be dropped to the bottom of the list.</w:t>
      </w:r>
      <w:r w:rsidR="00955CBD">
        <w:rPr>
          <w:color w:val="000000"/>
        </w:rPr>
        <w:t xml:space="preserve"> All reasonable accommodations will be considered on a case by case as good cause.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u w:val="single"/>
        </w:rPr>
        <w:t>Examples of “good cause” for refusal of an offer of housing are</w:t>
      </w:r>
      <w:r>
        <w:rPr>
          <w:color w:val="000000"/>
        </w:rPr>
        <w:t>:</w:t>
      </w:r>
    </w:p>
    <w:p w:rsidR="00305180" w:rsidRDefault="00305180">
      <w:pPr>
        <w:autoSpaceDE w:val="0"/>
        <w:autoSpaceDN w:val="0"/>
        <w:adjustRightInd w:val="0"/>
        <w:ind w:left="360"/>
        <w:jc w:val="both"/>
        <w:rPr>
          <w:color w:val="000000"/>
        </w:rPr>
      </w:pPr>
    </w:p>
    <w:p w:rsidR="00305180" w:rsidRDefault="00305180">
      <w:pPr>
        <w:autoSpaceDE w:val="0"/>
        <w:autoSpaceDN w:val="0"/>
        <w:adjustRightInd w:val="0"/>
        <w:ind w:left="576"/>
        <w:jc w:val="both"/>
        <w:rPr>
          <w:color w:val="000000"/>
        </w:rPr>
      </w:pPr>
      <w:r>
        <w:rPr>
          <w:color w:val="000000"/>
        </w:rPr>
        <w:t xml:space="preserve">• The unit is not ready for move-in at the time of the offer of housing. “Ready for move-in” means the unit has no Housing Quality Standard deficiencies and has not passed a UPCS inspection. If an applicant refuses a unit because it is not ready for move-in, the applicant will be offered the next unit that </w:t>
      </w:r>
      <w:r>
        <w:rPr>
          <w:b/>
          <w:color w:val="000000"/>
        </w:rPr>
        <w:t xml:space="preserve">is </w:t>
      </w:r>
      <w:r>
        <w:rPr>
          <w:color w:val="000000"/>
        </w:rPr>
        <w:t>ready for move in;</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Inaccessibility to source of employment, education, or job training, children’s day care, or educational program for children with disabilities, so that accepting the unit offer would require the adult household member to quit a job, drop out of an educational institution or job training program, or take a child out of day care or an educational program for children with disabilities;</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The applicant has started schooling or employment in another sub-jurisdiction and due to transportation requests to change sub-jurisdictions.</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The family demonstrates that accepting the offer will place a family member’s life, health or safety in jeopardy. The family must provide specific and compelling documentation such as restraining orders, other court orders, or risk assessments from a law enforcement agency. Reasons offered must be specific to the family. Refusals due to location alone do not qualify for this good cause exemption;</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lastRenderedPageBreak/>
        <w:t>• A health professional verifies temporary hospitalization or recovery from illness of the principal household member, other household members (each as listed on final application) or live-in aide necessary to the care of the principal household member;</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The unit has lead paint and the family has children under the age of seven;</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The unit is inappropriate for the applicant’s disabilities, or the family does not need the accessible features in the unit offered and does not want to be subject to a 30 day notice to move;</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An elderly or disabled family makes the decision not to occupy or accept occupancy in designated housing; or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If good cause is verified, the refusal of the offer shall not require the applicant be dropped to the bottom of the waiting list or otherwise affect the family’s position on the waiting list.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will document in applicants file the units offered, including location, date, and circumstances of each offer, and each acceptance or refusal, including the reason for the refusal.</w:t>
      </w:r>
    </w:p>
    <w:p w:rsidR="00305180" w:rsidRDefault="00305180">
      <w:pPr>
        <w:autoSpaceDE w:val="0"/>
        <w:autoSpaceDN w:val="0"/>
        <w:adjustRightInd w:val="0"/>
        <w:jc w:val="both"/>
        <w:rPr>
          <w:color w:val="000000"/>
        </w:rPr>
      </w:pPr>
    </w:p>
    <w:p w:rsidR="00305180" w:rsidRDefault="00305180">
      <w:pPr>
        <w:pStyle w:val="Heading4"/>
        <w:numPr>
          <w:ilvl w:val="0"/>
          <w:numId w:val="0"/>
        </w:numPr>
        <w:rPr>
          <w:sz w:val="24"/>
        </w:rPr>
      </w:pPr>
      <w:r>
        <w:rPr>
          <w:sz w:val="24"/>
        </w:rPr>
        <w:t>Leasing Accessible Units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Before offering a vacant accessible unit to a non-disabled applicant, HADCO will offer such units:</w:t>
      </w:r>
    </w:p>
    <w:p w:rsidR="00305180" w:rsidRDefault="00305180">
      <w:pPr>
        <w:autoSpaceDE w:val="0"/>
        <w:autoSpaceDN w:val="0"/>
        <w:adjustRightInd w:val="0"/>
        <w:jc w:val="both"/>
        <w:rPr>
          <w:color w:val="000000"/>
        </w:rPr>
      </w:pPr>
    </w:p>
    <w:p w:rsidR="00305180" w:rsidRDefault="00305180">
      <w:pPr>
        <w:autoSpaceDE w:val="0"/>
        <w:autoSpaceDN w:val="0"/>
        <w:adjustRightInd w:val="0"/>
        <w:ind w:left="576"/>
        <w:jc w:val="both"/>
        <w:rPr>
          <w:color w:val="000000"/>
        </w:rPr>
      </w:pPr>
      <w:r>
        <w:rPr>
          <w:color w:val="000000"/>
        </w:rPr>
        <w:t>• First, to a current public housing resident having a disability that requires the special features of the vacant unit.</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Second, to an eligible qualified applicant on the waiting list having a disability that requires the special features of the vacant unit.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When offering an accessible/adaptable unit to a non-disabled applicant, HADCO will require the applicant to agree to move to an available non-accessible unit within 30 days when a current resident or an applicant with a disability needs the unit. This requirement is also reflected in the lease signed with the applicant.</w:t>
      </w:r>
    </w:p>
    <w:p w:rsidR="00305180" w:rsidRDefault="00305180">
      <w:pPr>
        <w:autoSpaceDE w:val="0"/>
        <w:autoSpaceDN w:val="0"/>
        <w:adjustRightInd w:val="0"/>
        <w:jc w:val="both"/>
        <w:rPr>
          <w:color w:val="000000"/>
        </w:rPr>
      </w:pPr>
    </w:p>
    <w:p w:rsidR="00305180" w:rsidRDefault="00305180">
      <w:pPr>
        <w:pStyle w:val="Heading4"/>
        <w:numPr>
          <w:ilvl w:val="0"/>
          <w:numId w:val="0"/>
        </w:numPr>
        <w:rPr>
          <w:sz w:val="24"/>
        </w:rPr>
      </w:pPr>
      <w:r>
        <w:rPr>
          <w:sz w:val="24"/>
        </w:rPr>
        <w:t>Administering the Applicant and Transfer Waiting Lists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Applications for admission and transfer will be processed centrally. Initial intake, waiting list management, screening, and assigning of housing (including transfers) will be made from the central office. Offers may be made in person, in writing or by phone from the central office or the development.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
    <w:p w:rsidR="00305180" w:rsidRDefault="00305180">
      <w:pPr>
        <w:pStyle w:val="Heading5"/>
        <w:rPr>
          <w:sz w:val="24"/>
        </w:rPr>
      </w:pPr>
      <w:r>
        <w:rPr>
          <w:sz w:val="24"/>
        </w:rPr>
        <w:t>IV. Leasing Policies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General Leasing Policy</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All units must be occupied pursuant to a lease that complies with HUD’s regulations.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lease shall be signed by the head, spouse, and all other adult members of the household and by the Public Housing Manager or other authorized representative of HADCO, prior to actual admission.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If a resident transfers from one HADCO unit to another, a new lease will be executed for the dwelling into which the family moves.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If at any time during the life of the lease agreement, a change in the resident’s status results in the need for changing or amending any provision of the lease, either:</w:t>
      </w:r>
    </w:p>
    <w:p w:rsidR="00305180" w:rsidRDefault="00305180">
      <w:pPr>
        <w:autoSpaceDE w:val="0"/>
        <w:autoSpaceDN w:val="0"/>
        <w:adjustRightInd w:val="0"/>
        <w:ind w:left="864"/>
        <w:jc w:val="both"/>
        <w:rPr>
          <w:color w:val="000000"/>
        </w:rPr>
      </w:pPr>
      <w:r>
        <w:rPr>
          <w:color w:val="000000"/>
        </w:rPr>
        <w:t>(a) A new lease agreement will be executed, or</w:t>
      </w:r>
    </w:p>
    <w:p w:rsidR="00305180" w:rsidRDefault="00305180">
      <w:pPr>
        <w:autoSpaceDE w:val="0"/>
        <w:autoSpaceDN w:val="0"/>
        <w:adjustRightInd w:val="0"/>
        <w:ind w:left="864"/>
        <w:jc w:val="both"/>
        <w:rPr>
          <w:color w:val="000000"/>
        </w:rPr>
      </w:pPr>
      <w:r>
        <w:rPr>
          <w:color w:val="000000"/>
        </w:rPr>
        <w:t>(b) A Notice of Rent Adjustment will be executed, or</w:t>
      </w:r>
    </w:p>
    <w:p w:rsidR="00305180" w:rsidRDefault="00305180">
      <w:pPr>
        <w:autoSpaceDE w:val="0"/>
        <w:autoSpaceDN w:val="0"/>
        <w:adjustRightInd w:val="0"/>
        <w:ind w:left="864"/>
        <w:jc w:val="both"/>
        <w:rPr>
          <w:color w:val="000000"/>
        </w:rPr>
      </w:pPr>
      <w:r>
        <w:rPr>
          <w:color w:val="000000"/>
        </w:rPr>
        <w:t>(c) An appropriate rider will be prepared and made a part of the existing lease.</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jc w:val="both"/>
        <w:rPr>
          <w:color w:val="000000"/>
        </w:rPr>
      </w:pPr>
      <w:r>
        <w:rPr>
          <w:color w:val="000000"/>
        </w:rPr>
        <w:t>All copies of such riders or insertions are to be dated and signed by the Resident and by the Public Housing Manager or other authorized representative of HADCO.</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Residents must advise HADCO if they will be absent from the unit for more than 30 days. Residents shall notify the manager, secure the unit and provide a means for HADCO to contact the resident in an emergency. Failure to advise HADCO of an extended absence is grounds for termination of the lease.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Showing Units Prior to Leasing</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When offering units, HADCO will provide the applicant with a brief property description and other information to help orient the applicant to the neighborhood and location in the property. If the offer of a unit is preliminarily accepted by the applicant, the manager of the property will contact the applicant to set up a date to show the unit.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Once the unit is shown and the applicant accepts the unit, the manager will execute a lease. If the applicant refuses the unit, the file will be documented and the applicant will either be moved to bottom of wait list or withdrawn as per these guidelines.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No lease will have an effective date before the unit is ready for occupancy.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Additions to the Household and Visitors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Only those persons listed on the most recent certification form and lease shall be permitted to occupy a dwelling unit.</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Except for natural births or adoptions by family members, or court awarded custody, any family seeking to add a new member must request approval in writing before the new member moves in.</w:t>
      </w:r>
    </w:p>
    <w:p w:rsidR="00305180" w:rsidRDefault="00305180">
      <w:pPr>
        <w:autoSpaceDE w:val="0"/>
        <w:autoSpaceDN w:val="0"/>
        <w:adjustRightInd w:val="0"/>
        <w:ind w:left="864"/>
        <w:jc w:val="both"/>
        <w:rPr>
          <w:color w:val="000000"/>
        </w:rPr>
      </w:pPr>
      <w:r>
        <w:rPr>
          <w:color w:val="000000"/>
        </w:rPr>
        <w:t>• Also included, would be situations in which a person (often a relative) comes to the unit as a visitor but stayed on in the unit because the tenant needed support, for example, after a medical procedure.</w:t>
      </w:r>
    </w:p>
    <w:p w:rsidR="00305180" w:rsidRDefault="00305180">
      <w:pPr>
        <w:pStyle w:val="BodyTextIndent"/>
        <w:rPr>
          <w:sz w:val="24"/>
        </w:rPr>
      </w:pPr>
      <w:r>
        <w:rPr>
          <w:sz w:val="24"/>
        </w:rPr>
        <w:t>• All persons listed on the most recent certification form and the lease must use the dwelling unit as their sole residence.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roofErr w:type="gramStart"/>
      <w:r>
        <w:rPr>
          <w:color w:val="000000"/>
        </w:rPr>
        <w:t>When a resident requests approval to add a new person to the lease, HADCO will conduct pre-admission screening of any proposed new adult member to determine whether HADCO will grant such approval.</w:t>
      </w:r>
      <w:proofErr w:type="gramEnd"/>
      <w:r>
        <w:rPr>
          <w:color w:val="000000"/>
        </w:rPr>
        <w:t xml:space="preserve"> Children under the age below which Juvenile Justice records are made available, or added through a formal custody award or kinship care arrangement are exempt from the pre-admission screening process, although the resident still needs prior permission from HADCO to add children other than those born, adopted by or awarded by the court to the family.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Examples of situations where the addition of a family or household </w:t>
      </w:r>
      <w:r>
        <w:rPr>
          <w:b/>
          <w:color w:val="000000"/>
        </w:rPr>
        <w:t xml:space="preserve">member is subject to screening </w:t>
      </w:r>
      <w:r>
        <w:rPr>
          <w:color w:val="000000"/>
        </w:rPr>
        <w:t>are:</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Resident plans to be married and requests to add the new spouse to the lease;</w:t>
      </w:r>
    </w:p>
    <w:p w:rsidR="00305180" w:rsidRDefault="00305180">
      <w:pPr>
        <w:autoSpaceDE w:val="0"/>
        <w:autoSpaceDN w:val="0"/>
        <w:adjustRightInd w:val="0"/>
        <w:ind w:left="864"/>
        <w:jc w:val="both"/>
        <w:rPr>
          <w:color w:val="000000"/>
        </w:rPr>
      </w:pPr>
      <w:r>
        <w:rPr>
          <w:color w:val="000000"/>
        </w:rPr>
        <w:lastRenderedPageBreak/>
        <w:t xml:space="preserve">• Resident desires to add a new family member to the lease, employ a live-in aide, or take in a foster </w:t>
      </w:r>
      <w:proofErr w:type="gramStart"/>
      <w:r>
        <w:rPr>
          <w:color w:val="000000"/>
        </w:rPr>
        <w:t>child(</w:t>
      </w:r>
      <w:proofErr w:type="spellStart"/>
      <w:proofErr w:type="gramEnd"/>
      <w:r>
        <w:rPr>
          <w:color w:val="000000"/>
        </w:rPr>
        <w:t>ren</w:t>
      </w:r>
      <w:proofErr w:type="spellEnd"/>
      <w:r>
        <w:rPr>
          <w:color w:val="000000"/>
        </w:rPr>
        <w:t>) over the age for which juvenile justice records are available;</w:t>
      </w:r>
    </w:p>
    <w:p w:rsidR="00305180" w:rsidRDefault="00305180">
      <w:pPr>
        <w:autoSpaceDE w:val="0"/>
        <w:autoSpaceDN w:val="0"/>
        <w:adjustRightInd w:val="0"/>
        <w:ind w:left="864"/>
        <w:jc w:val="both"/>
        <w:rPr>
          <w:color w:val="000000"/>
        </w:rPr>
      </w:pPr>
      <w:r>
        <w:rPr>
          <w:color w:val="000000"/>
        </w:rPr>
        <w:t>• A unit is occupied by a remaining family member(s) under age 18 (who is not an emancipated minor) and an adult, not a part of the original household, requests permission to take over as the head of the household.</w:t>
      </w:r>
    </w:p>
    <w:p w:rsidR="00305180" w:rsidRDefault="00305180">
      <w:pPr>
        <w:autoSpaceDE w:val="0"/>
        <w:autoSpaceDN w:val="0"/>
        <w:adjustRightInd w:val="0"/>
        <w:jc w:val="both"/>
        <w:rPr>
          <w:color w:val="000000"/>
        </w:rPr>
      </w:pPr>
    </w:p>
    <w:p w:rsidR="00305180" w:rsidRDefault="00305180">
      <w:pPr>
        <w:pStyle w:val="BodyText2"/>
        <w:rPr>
          <w:sz w:val="24"/>
        </w:rPr>
      </w:pPr>
      <w:r>
        <w:rPr>
          <w:sz w:val="24"/>
        </w:rPr>
        <w:t>Residents who fail to notify HADCO of additions to the household or who permit persons to join the household without undergoing screening are in violation of the lease. Persons added without HADCO approval will be considered unauthorized occupants and the entire household will be subject to eviction.</w:t>
      </w:r>
    </w:p>
    <w:p w:rsidR="00305180" w:rsidRDefault="00305180">
      <w:pPr>
        <w:pStyle w:val="BodyText2"/>
        <w:rPr>
          <w:sz w:val="24"/>
        </w:rPr>
      </w:pPr>
    </w:p>
    <w:p w:rsidR="00305180" w:rsidRDefault="00305180">
      <w:pPr>
        <w:autoSpaceDE w:val="0"/>
        <w:autoSpaceDN w:val="0"/>
        <w:adjustRightInd w:val="0"/>
        <w:jc w:val="both"/>
        <w:rPr>
          <w:color w:val="000000"/>
        </w:rPr>
      </w:pPr>
      <w:r>
        <w:rPr>
          <w:color w:val="000000"/>
        </w:rPr>
        <w:t>Visitors may be permitted in a dwelling unit so long as they have no previous history of behavior on HADCO premises or any other public housing agency premises that would be a lease violation.</w:t>
      </w:r>
    </w:p>
    <w:p w:rsidR="00305180" w:rsidRDefault="00305180">
      <w:pPr>
        <w:autoSpaceDE w:val="0"/>
        <w:autoSpaceDN w:val="0"/>
        <w:adjustRightInd w:val="0"/>
        <w:jc w:val="both"/>
        <w:rPr>
          <w:color w:val="000000"/>
        </w:rPr>
      </w:pPr>
    </w:p>
    <w:p w:rsidR="00305180" w:rsidRPr="00701D12" w:rsidRDefault="00305180">
      <w:pPr>
        <w:autoSpaceDE w:val="0"/>
        <w:autoSpaceDN w:val="0"/>
        <w:adjustRightInd w:val="0"/>
        <w:ind w:left="864"/>
        <w:jc w:val="both"/>
        <w:rPr>
          <w:color w:val="000000"/>
        </w:rPr>
      </w:pPr>
      <w:r w:rsidRPr="00701D12">
        <w:rPr>
          <w:color w:val="000000"/>
        </w:rPr>
        <w:t>• Visits of less than twenty-four hours need not be reported to or approved by the Manager.</w:t>
      </w:r>
    </w:p>
    <w:p w:rsidR="00701D12" w:rsidRDefault="00305180" w:rsidP="00701D12">
      <w:pPr>
        <w:autoSpaceDE w:val="0"/>
        <w:autoSpaceDN w:val="0"/>
        <w:adjustRightInd w:val="0"/>
        <w:ind w:left="864"/>
        <w:jc w:val="both"/>
        <w:rPr>
          <w:color w:val="000000"/>
        </w:rPr>
      </w:pPr>
      <w:r w:rsidRPr="00701D12">
        <w:rPr>
          <w:color w:val="000000"/>
        </w:rPr>
        <w:t>• Visits of more than 14 calendar days in a given year shall be author</w:t>
      </w:r>
      <w:r w:rsidR="00701D12">
        <w:rPr>
          <w:color w:val="000000"/>
        </w:rPr>
        <w:t>ized only by the Public Housing</w:t>
      </w:r>
    </w:p>
    <w:p w:rsidR="00701D12" w:rsidRPr="00701D12" w:rsidRDefault="00701D12" w:rsidP="00701D12">
      <w:pPr>
        <w:autoSpaceDE w:val="0"/>
        <w:autoSpaceDN w:val="0"/>
        <w:adjustRightInd w:val="0"/>
        <w:ind w:left="864"/>
        <w:jc w:val="both"/>
        <w:rPr>
          <w:color w:val="000000"/>
        </w:rPr>
      </w:pPr>
      <w:r>
        <w:rPr>
          <w:color w:val="000000"/>
        </w:rPr>
        <w:t xml:space="preserve">   </w:t>
      </w:r>
      <w:proofErr w:type="gramStart"/>
      <w:r w:rsidR="00305180" w:rsidRPr="00701D12">
        <w:rPr>
          <w:color w:val="000000"/>
        </w:rPr>
        <w:t>Manager with advance documentation of extenuating circumstances.</w:t>
      </w:r>
      <w:proofErr w:type="gramEnd"/>
    </w:p>
    <w:p w:rsidR="00701D12" w:rsidRDefault="00701D12" w:rsidP="00701D12">
      <w:pPr>
        <w:pStyle w:val="ListParagraph"/>
        <w:autoSpaceDE w:val="0"/>
        <w:autoSpaceDN w:val="0"/>
        <w:adjustRightInd w:val="0"/>
        <w:ind w:left="1080"/>
        <w:jc w:val="both"/>
        <w:rPr>
          <w:color w:val="000000"/>
        </w:rPr>
      </w:pPr>
    </w:p>
    <w:p w:rsidR="00701D12" w:rsidRPr="00701D12" w:rsidRDefault="00701D12" w:rsidP="00701D12">
      <w:pPr>
        <w:pStyle w:val="ListParagraph"/>
        <w:autoSpaceDE w:val="0"/>
        <w:autoSpaceDN w:val="0"/>
        <w:adjustRightInd w:val="0"/>
        <w:ind w:left="1080"/>
        <w:jc w:val="both"/>
        <w:rPr>
          <w:color w:val="000000"/>
        </w:rPr>
      </w:pPr>
      <w:r w:rsidRPr="00701D12">
        <w:rPr>
          <w:color w:val="000000"/>
        </w:rPr>
        <w:t>Minors related to head of household may visit for extended times during summer, spring breaks, etc with prior approval. Such visitors may be required to verify their permanent residence as they will not be considered when determining the eligible size of the dwelling unit.</w:t>
      </w:r>
    </w:p>
    <w:p w:rsidR="00305180" w:rsidRPr="00701D12" w:rsidRDefault="00305180" w:rsidP="00701D12">
      <w:pPr>
        <w:autoSpaceDE w:val="0"/>
        <w:autoSpaceDN w:val="0"/>
        <w:adjustRightInd w:val="0"/>
        <w:jc w:val="both"/>
        <w:rPr>
          <w:color w:val="000000"/>
        </w:rPr>
      </w:pPr>
    </w:p>
    <w:p w:rsidR="00305180" w:rsidRPr="00701D12" w:rsidRDefault="00305180">
      <w:pPr>
        <w:autoSpaceDE w:val="0"/>
        <w:autoSpaceDN w:val="0"/>
        <w:adjustRightInd w:val="0"/>
        <w:ind w:left="864"/>
        <w:jc w:val="both"/>
        <w:rPr>
          <w:color w:val="000000"/>
        </w:rPr>
      </w:pPr>
      <w:r w:rsidRPr="00701D12">
        <w:rPr>
          <w:color w:val="000000"/>
        </w:rPr>
        <w:t>• Visitors remaining beyond this period shall be considered unauthorized occupants and the head of the household shall be guilty of a breach of the lease.</w:t>
      </w:r>
    </w:p>
    <w:p w:rsidR="00701D12" w:rsidRDefault="00701D12">
      <w:pPr>
        <w:autoSpaceDE w:val="0"/>
        <w:autoSpaceDN w:val="0"/>
        <w:adjustRightInd w:val="0"/>
        <w:ind w:left="864"/>
        <w:jc w:val="both"/>
        <w:rPr>
          <w:color w:val="000000"/>
        </w:rPr>
      </w:pP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roofErr w:type="spellStart"/>
      <w:r>
        <w:rPr>
          <w:color w:val="000000"/>
        </w:rPr>
        <w:t>Roomers</w:t>
      </w:r>
      <w:proofErr w:type="spellEnd"/>
      <w:r>
        <w:rPr>
          <w:color w:val="000000"/>
        </w:rPr>
        <w:t xml:space="preserve"> and lodgers shall not be permitted to move in with any family. Violation of this provision is grounds for termination of the lease.</w:t>
      </w:r>
    </w:p>
    <w:p w:rsidR="00305180" w:rsidRDefault="00305180">
      <w:pPr>
        <w:autoSpaceDE w:val="0"/>
        <w:autoSpaceDN w:val="0"/>
        <w:adjustRightInd w:val="0"/>
        <w:jc w:val="both"/>
        <w:rPr>
          <w:color w:val="000000"/>
        </w:rPr>
      </w:pPr>
    </w:p>
    <w:p w:rsidR="00305180" w:rsidRDefault="006C53E7">
      <w:pPr>
        <w:autoSpaceDE w:val="0"/>
        <w:autoSpaceDN w:val="0"/>
        <w:adjustRightInd w:val="0"/>
        <w:jc w:val="both"/>
        <w:rPr>
          <w:color w:val="000000"/>
        </w:rPr>
      </w:pPr>
      <w:r>
        <w:rPr>
          <w:color w:val="000000"/>
        </w:rPr>
        <w:t>Former residents of HADCO who have been evicted from any HADCO program will be required to follow the same waitlist eligible guidelines set forth in this policy to be granted occupancy.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Family members over age 17 or emancipated minors who move from the dwelling unit to establish new households shall be removed from the lease. The resident shall report the move-out within 30 calendar days of its occurrence.</w:t>
      </w:r>
    </w:p>
    <w:p w:rsidR="00305180" w:rsidRDefault="00305180" w:rsidP="00701D12">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Security Deposits</w:t>
      </w:r>
    </w:p>
    <w:p w:rsidR="00305180" w:rsidRDefault="00305180">
      <w:pPr>
        <w:tabs>
          <w:tab w:val="left" w:pos="-1080"/>
          <w:tab w:val="left" w:pos="-720"/>
          <w:tab w:val="left" w:pos="1080"/>
        </w:tabs>
        <w:jc w:val="both"/>
        <w:rPr>
          <w:color w:val="000000"/>
        </w:rPr>
      </w:pPr>
    </w:p>
    <w:p w:rsidR="00305180" w:rsidRDefault="00305180">
      <w:pPr>
        <w:tabs>
          <w:tab w:val="left" w:pos="-1080"/>
          <w:tab w:val="left" w:pos="-720"/>
          <w:tab w:val="left" w:pos="1080"/>
        </w:tabs>
        <w:jc w:val="both"/>
      </w:pPr>
      <w:r>
        <w:t>The family is required to pay the following Security Deposits. The family may pay the security deposit in full at the time of lease signing, or pay on a payment schedule as indicated below:</w:t>
      </w:r>
    </w:p>
    <w:p w:rsidR="00305180" w:rsidRDefault="00305180">
      <w:pPr>
        <w:tabs>
          <w:tab w:val="left" w:pos="-1080"/>
          <w:tab w:val="left" w:pos="-720"/>
          <w:tab w:val="left" w:pos="1080"/>
        </w:tabs>
        <w:jc w:val="both"/>
        <w:rPr>
          <w:b/>
        </w:rPr>
      </w:pPr>
    </w:p>
    <w:p w:rsidR="00305180" w:rsidRDefault="00305180">
      <w:pPr>
        <w:tabs>
          <w:tab w:val="left" w:pos="-1080"/>
          <w:tab w:val="left" w:pos="-720"/>
          <w:tab w:val="left" w:pos="1080"/>
        </w:tabs>
        <w:jc w:val="both"/>
        <w:rPr>
          <w:b/>
        </w:rPr>
      </w:pPr>
      <w:r>
        <w:rPr>
          <w:b/>
        </w:rPr>
        <w:t xml:space="preserve"> </w:t>
      </w:r>
    </w:p>
    <w:p w:rsidR="00305180" w:rsidRDefault="00305180">
      <w:pPr>
        <w:tabs>
          <w:tab w:val="left" w:pos="-1080"/>
          <w:tab w:val="left" w:pos="-720"/>
          <w:tab w:val="left" w:pos="1080"/>
        </w:tabs>
        <w:jc w:val="both"/>
        <w:rPr>
          <w:b/>
        </w:rPr>
      </w:pPr>
      <w:r>
        <w:rPr>
          <w:b/>
        </w:rPr>
        <w:t xml:space="preserve"> 1 BR Unit</w:t>
      </w:r>
      <w:r>
        <w:rPr>
          <w:b/>
        </w:rPr>
        <w:tab/>
        <w:t>$ 100.00 Down</w:t>
      </w:r>
      <w:r>
        <w:rPr>
          <w:b/>
        </w:rPr>
        <w:tab/>
      </w:r>
      <w:r>
        <w:rPr>
          <w:b/>
        </w:rPr>
        <w:tab/>
        <w:t xml:space="preserve">$100.00 </w:t>
      </w:r>
      <w:proofErr w:type="gramStart"/>
      <w:r>
        <w:rPr>
          <w:b/>
        </w:rPr>
        <w:t>Per</w:t>
      </w:r>
      <w:proofErr w:type="gramEnd"/>
      <w:r>
        <w:rPr>
          <w:b/>
        </w:rPr>
        <w:t xml:space="preserve"> Month</w:t>
      </w:r>
      <w:r>
        <w:rPr>
          <w:b/>
        </w:rPr>
        <w:tab/>
      </w:r>
      <w:r>
        <w:rPr>
          <w:b/>
        </w:rPr>
        <w:tab/>
        <w:t>$300.00 Total Due</w:t>
      </w:r>
    </w:p>
    <w:p w:rsidR="00305180" w:rsidRDefault="00305180">
      <w:pPr>
        <w:tabs>
          <w:tab w:val="left" w:pos="-1080"/>
          <w:tab w:val="left" w:pos="-720"/>
          <w:tab w:val="left" w:pos="1080"/>
        </w:tabs>
        <w:jc w:val="both"/>
        <w:rPr>
          <w:b/>
        </w:rPr>
      </w:pPr>
      <w:r>
        <w:rPr>
          <w:b/>
        </w:rPr>
        <w:t xml:space="preserve"> 2 BR Unit</w:t>
      </w:r>
      <w:r>
        <w:rPr>
          <w:b/>
        </w:rPr>
        <w:tab/>
        <w:t>$ 100.00 Down</w:t>
      </w:r>
      <w:r>
        <w:rPr>
          <w:b/>
        </w:rPr>
        <w:tab/>
      </w:r>
      <w:r>
        <w:rPr>
          <w:b/>
        </w:rPr>
        <w:tab/>
        <w:t xml:space="preserve">$100.00 </w:t>
      </w:r>
      <w:proofErr w:type="gramStart"/>
      <w:r>
        <w:rPr>
          <w:b/>
        </w:rPr>
        <w:t>Per</w:t>
      </w:r>
      <w:proofErr w:type="gramEnd"/>
      <w:r>
        <w:rPr>
          <w:b/>
        </w:rPr>
        <w:t xml:space="preserve"> Month</w:t>
      </w:r>
      <w:r>
        <w:rPr>
          <w:b/>
        </w:rPr>
        <w:tab/>
      </w:r>
      <w:r>
        <w:rPr>
          <w:b/>
        </w:rPr>
        <w:tab/>
        <w:t>$400.00 Total Due</w:t>
      </w:r>
    </w:p>
    <w:p w:rsidR="00305180" w:rsidRDefault="00305180">
      <w:pPr>
        <w:tabs>
          <w:tab w:val="left" w:pos="-1080"/>
          <w:tab w:val="left" w:pos="-720"/>
          <w:tab w:val="left" w:pos="1080"/>
        </w:tabs>
        <w:jc w:val="both"/>
        <w:rPr>
          <w:b/>
        </w:rPr>
      </w:pPr>
      <w:r>
        <w:rPr>
          <w:b/>
        </w:rPr>
        <w:t xml:space="preserve"> 3 BR Unit</w:t>
      </w:r>
      <w:r>
        <w:rPr>
          <w:b/>
        </w:rPr>
        <w:tab/>
        <w:t>$ 100.00 Down</w:t>
      </w:r>
      <w:r>
        <w:rPr>
          <w:b/>
        </w:rPr>
        <w:tab/>
      </w:r>
      <w:r>
        <w:rPr>
          <w:b/>
        </w:rPr>
        <w:tab/>
        <w:t xml:space="preserve">$100.00 </w:t>
      </w:r>
      <w:proofErr w:type="gramStart"/>
      <w:r>
        <w:rPr>
          <w:b/>
        </w:rPr>
        <w:t>Per</w:t>
      </w:r>
      <w:proofErr w:type="gramEnd"/>
      <w:r>
        <w:rPr>
          <w:b/>
        </w:rPr>
        <w:t xml:space="preserve"> Month</w:t>
      </w:r>
      <w:r>
        <w:rPr>
          <w:b/>
        </w:rPr>
        <w:tab/>
      </w:r>
      <w:r>
        <w:rPr>
          <w:b/>
        </w:rPr>
        <w:tab/>
        <w:t>$500.00 Total Due</w:t>
      </w:r>
    </w:p>
    <w:p w:rsidR="00305180" w:rsidRDefault="00305180">
      <w:pPr>
        <w:tabs>
          <w:tab w:val="left" w:pos="-1080"/>
          <w:tab w:val="left" w:pos="-720"/>
          <w:tab w:val="left" w:pos="1080"/>
        </w:tabs>
        <w:jc w:val="both"/>
        <w:rPr>
          <w:b/>
        </w:rPr>
      </w:pPr>
      <w:r>
        <w:rPr>
          <w:b/>
        </w:rPr>
        <w:t xml:space="preserve"> 4 BR Unit     $ 100.00 Down</w:t>
      </w:r>
      <w:r>
        <w:rPr>
          <w:b/>
        </w:rPr>
        <w:tab/>
      </w:r>
      <w:r>
        <w:rPr>
          <w:b/>
        </w:rPr>
        <w:tab/>
        <w:t xml:space="preserve">$100.00 </w:t>
      </w:r>
      <w:proofErr w:type="gramStart"/>
      <w:r>
        <w:rPr>
          <w:b/>
        </w:rPr>
        <w:t>Per</w:t>
      </w:r>
      <w:proofErr w:type="gramEnd"/>
      <w:r>
        <w:rPr>
          <w:b/>
        </w:rPr>
        <w:t xml:space="preserve"> Month</w:t>
      </w:r>
      <w:r>
        <w:rPr>
          <w:b/>
        </w:rPr>
        <w:tab/>
      </w:r>
      <w:r>
        <w:rPr>
          <w:b/>
        </w:rPr>
        <w:tab/>
        <w:t>$700.00 Total Due</w:t>
      </w:r>
    </w:p>
    <w:p w:rsidR="00305180" w:rsidRDefault="00305180">
      <w:pPr>
        <w:tabs>
          <w:tab w:val="left" w:pos="-1080"/>
          <w:tab w:val="left" w:pos="-720"/>
          <w:tab w:val="left" w:pos="1080"/>
        </w:tabs>
        <w:jc w:val="both"/>
        <w:rPr>
          <w:b/>
        </w:rPr>
      </w:pPr>
    </w:p>
    <w:p w:rsidR="00305180" w:rsidRDefault="00305180">
      <w:pPr>
        <w:jc w:val="both"/>
      </w:pPr>
      <w:r>
        <w:t xml:space="preserve">Security Deposits are not transferable to a new unit within the Public Housing Program. In the case of a unit transfer the tenant will be required to </w:t>
      </w:r>
      <w:r w:rsidR="00955CBD">
        <w:t xml:space="preserve">enter into a payment agreement or pay </w:t>
      </w:r>
      <w:r>
        <w:t xml:space="preserve">the Security Deposit on the new unit </w:t>
      </w:r>
      <w:r w:rsidR="00955CBD">
        <w:t>within 30 days of the transfer</w:t>
      </w:r>
      <w:r>
        <w:t xml:space="preserve">. HADCO will reimburse the tenant </w:t>
      </w:r>
      <w:r w:rsidR="00955CBD">
        <w:t xml:space="preserve">an applicable refund </w:t>
      </w:r>
      <w:r>
        <w:t xml:space="preserve">within thirty days for the Security Deposit on the previous unit.  </w:t>
      </w:r>
      <w:r>
        <w:tab/>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p>
    <w:p w:rsidR="00305180" w:rsidRDefault="00305180">
      <w:pPr>
        <w:pStyle w:val="Heading7"/>
        <w:jc w:val="center"/>
        <w:rPr>
          <w:sz w:val="24"/>
        </w:rPr>
      </w:pPr>
      <w:r>
        <w:rPr>
          <w:sz w:val="24"/>
        </w:rPr>
        <w:t>V. Transfer Policy</w:t>
      </w:r>
    </w:p>
    <w:p w:rsidR="00305180" w:rsidRDefault="00305180">
      <w:pPr>
        <w:jc w:val="both"/>
      </w:pPr>
    </w:p>
    <w:p w:rsidR="00305180" w:rsidRDefault="00305180">
      <w:pPr>
        <w:pStyle w:val="Heading7"/>
        <w:rPr>
          <w:sz w:val="24"/>
        </w:rPr>
      </w:pPr>
      <w:r>
        <w:rPr>
          <w:sz w:val="24"/>
        </w:rPr>
        <w:t>General Transfer Policy</w:t>
      </w:r>
    </w:p>
    <w:p w:rsidR="00305180" w:rsidRDefault="00305180">
      <w:pPr>
        <w:jc w:val="both"/>
      </w:pPr>
    </w:p>
    <w:p w:rsidR="00305180" w:rsidRDefault="00305180">
      <w:pPr>
        <w:autoSpaceDE w:val="0"/>
        <w:autoSpaceDN w:val="0"/>
        <w:adjustRightInd w:val="0"/>
        <w:jc w:val="both"/>
        <w:rPr>
          <w:color w:val="000000"/>
        </w:rPr>
      </w:pPr>
      <w:r>
        <w:rPr>
          <w:color w:val="000000"/>
        </w:rPr>
        <w:t>Transfers will be made without regard to race, color, national origin, sex, religion, or familial status. Residents can be transferred to accommodate a disability.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Residents will receive one offer of a transfer. Refusal of that offer without good cause will result in lease termination for mandatory transfers or the removal of the household from the transfer list for voluntary transfers.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Types of Transfers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The order in which families are transferred shall be subject to the hierarchy by category set forth below.</w:t>
      </w:r>
    </w:p>
    <w:p w:rsidR="00305180" w:rsidRDefault="00305180">
      <w:pPr>
        <w:autoSpaceDE w:val="0"/>
        <w:autoSpaceDN w:val="0"/>
        <w:adjustRightInd w:val="0"/>
        <w:ind w:left="360"/>
        <w:jc w:val="both"/>
        <w:rPr>
          <w:color w:val="000000"/>
        </w:rPr>
      </w:pPr>
    </w:p>
    <w:p w:rsidR="00305180" w:rsidRDefault="00305180">
      <w:pPr>
        <w:autoSpaceDE w:val="0"/>
        <w:autoSpaceDN w:val="0"/>
        <w:adjustRightInd w:val="0"/>
        <w:ind w:left="864"/>
        <w:jc w:val="both"/>
        <w:rPr>
          <w:color w:val="000000"/>
        </w:rPr>
      </w:pPr>
      <w:r>
        <w:rPr>
          <w:color w:val="000000"/>
          <w:u w:val="single"/>
        </w:rPr>
        <w:t>Emergency Transfers</w:t>
      </w:r>
      <w:r>
        <w:rPr>
          <w:color w:val="000000"/>
        </w:rPr>
        <w:t xml:space="preserve"> are </w:t>
      </w:r>
      <w:r>
        <w:rPr>
          <w:b/>
          <w:color w:val="000000"/>
        </w:rPr>
        <w:t xml:space="preserve">mandatory </w:t>
      </w:r>
      <w:r>
        <w:rPr>
          <w:color w:val="000000"/>
        </w:rPr>
        <w:t xml:space="preserve">when HADCO determines that conditions pose an immediate threat to resident life, health or safety. Emergency transfers may be made to: permit repair of unit defects hazardous to life, health, or safety; alleviate verified disability problems of a life threatening nature; or protect members of the household from attack by the criminal element in a particular property or neighborhood </w:t>
      </w:r>
      <w:r>
        <w:rPr>
          <w:b/>
          <w:color w:val="000000"/>
        </w:rPr>
        <w:t>Emergency transfers shall take priority over new admissions.</w:t>
      </w:r>
    </w:p>
    <w:p w:rsidR="00305180" w:rsidRDefault="00305180">
      <w:pPr>
        <w:autoSpaceDE w:val="0"/>
        <w:autoSpaceDN w:val="0"/>
        <w:adjustRightInd w:val="0"/>
        <w:ind w:left="864"/>
        <w:jc w:val="both"/>
        <w:rPr>
          <w:b/>
          <w:color w:val="000000"/>
        </w:rPr>
      </w:pPr>
    </w:p>
    <w:p w:rsidR="00305180" w:rsidRDefault="00305180">
      <w:pPr>
        <w:autoSpaceDE w:val="0"/>
        <w:autoSpaceDN w:val="0"/>
        <w:adjustRightInd w:val="0"/>
        <w:ind w:left="864"/>
        <w:jc w:val="both"/>
        <w:rPr>
          <w:color w:val="000000"/>
        </w:rPr>
      </w:pPr>
      <w:r>
        <w:rPr>
          <w:color w:val="000000"/>
          <w:u w:val="single"/>
        </w:rPr>
        <w:t>Category 1 Administrative transfers</w:t>
      </w:r>
      <w:r>
        <w:rPr>
          <w:color w:val="000000"/>
        </w:rPr>
        <w:t xml:space="preserve"> include </w:t>
      </w:r>
      <w:r>
        <w:rPr>
          <w:b/>
          <w:color w:val="000000"/>
        </w:rPr>
        <w:t xml:space="preserve">mandatory </w:t>
      </w:r>
      <w:r>
        <w:rPr>
          <w:color w:val="000000"/>
        </w:rPr>
        <w:t xml:space="preserve">transfers to: remove residents who are witnesses to crimes and may face reprisals; provide housing options to residents who are victims of hate crimes or extreme harassment; alleviate verified medical problems of a serious (but not life-threatening) nature; permit modernization or demolition of units; perform work (e.g., repair, modernization, or lead hazard reduction work) above a specified scale and duration that disturbs lead-based paint or controls lead-based paint hazards; or permit a family that requires a unit with accessible features to occupy such a unit. </w:t>
      </w:r>
      <w:r>
        <w:rPr>
          <w:b/>
          <w:color w:val="000000"/>
        </w:rPr>
        <w:t>Category 1 transfers shall take priority over new admissions.</w:t>
      </w:r>
    </w:p>
    <w:p w:rsidR="00305180" w:rsidRDefault="00305180">
      <w:pPr>
        <w:autoSpaceDE w:val="0"/>
        <w:autoSpaceDN w:val="0"/>
        <w:adjustRightInd w:val="0"/>
        <w:ind w:left="864"/>
        <w:jc w:val="both"/>
        <w:rPr>
          <w:b/>
          <w:color w:val="000000"/>
        </w:rPr>
      </w:pPr>
    </w:p>
    <w:p w:rsidR="00305180" w:rsidRDefault="00305180">
      <w:pPr>
        <w:pStyle w:val="BodyTextIndent"/>
        <w:rPr>
          <w:sz w:val="24"/>
        </w:rPr>
      </w:pPr>
      <w:r>
        <w:rPr>
          <w:sz w:val="24"/>
        </w:rPr>
        <w:t xml:space="preserve">Requests for these transfers will be made to the manager with necessary documentation to substantiate the need for such transfers. Transfers may also be initiated by HADCO (e.g. moving a person with mobility problems to a unit with accessible features or temporarily moving residents to a unit free of lead-based paint hazards). </w:t>
      </w:r>
    </w:p>
    <w:p w:rsidR="00305180" w:rsidRDefault="00305180">
      <w:pPr>
        <w:pStyle w:val="BodyTextIndent"/>
        <w:rPr>
          <w:sz w:val="24"/>
        </w:rPr>
      </w:pPr>
    </w:p>
    <w:p w:rsidR="00305180" w:rsidRDefault="00305180">
      <w:pPr>
        <w:autoSpaceDE w:val="0"/>
        <w:autoSpaceDN w:val="0"/>
        <w:adjustRightInd w:val="0"/>
        <w:ind w:left="864"/>
        <w:jc w:val="both"/>
        <w:rPr>
          <w:b/>
          <w:color w:val="000000"/>
        </w:rPr>
      </w:pPr>
      <w:r>
        <w:rPr>
          <w:u w:val="single"/>
        </w:rPr>
        <w:t>Category 2 Administrative transfers</w:t>
      </w:r>
      <w:r>
        <w:t xml:space="preserve"> correct serious occupancy standards problems.</w:t>
      </w:r>
      <w:r>
        <w:rPr>
          <w:b/>
          <w:color w:val="000000"/>
        </w:rPr>
        <w:t xml:space="preserve"> These transfers will not take priority over new admissions.</w:t>
      </w:r>
    </w:p>
    <w:p w:rsidR="00305180" w:rsidRDefault="00305180">
      <w:pPr>
        <w:autoSpaceDE w:val="0"/>
        <w:autoSpaceDN w:val="0"/>
        <w:adjustRightInd w:val="0"/>
        <w:ind w:left="864"/>
        <w:jc w:val="both"/>
        <w:rPr>
          <w:b/>
          <w:color w:val="000000"/>
        </w:rPr>
      </w:pPr>
    </w:p>
    <w:p w:rsidR="00305180" w:rsidRDefault="00305180">
      <w:pPr>
        <w:autoSpaceDE w:val="0"/>
        <w:autoSpaceDN w:val="0"/>
        <w:adjustRightInd w:val="0"/>
        <w:ind w:left="864"/>
        <w:jc w:val="both"/>
        <w:rPr>
          <w:color w:val="000000"/>
        </w:rPr>
      </w:pPr>
      <w:r>
        <w:rPr>
          <w:b/>
          <w:color w:val="000000"/>
        </w:rPr>
        <w:t xml:space="preserve">These transfers will not take priority over new admissions.  </w:t>
      </w:r>
      <w:r>
        <w:rPr>
          <w:color w:val="000000"/>
        </w:rPr>
        <w:t>They will be processed at the rate of one transfer to four admissions.</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b/>
          <w:color w:val="000000"/>
        </w:rPr>
      </w:pPr>
      <w:r>
        <w:rPr>
          <w:color w:val="000000"/>
          <w:u w:val="single"/>
        </w:rPr>
        <w:t>Category 2 transfers:</w:t>
      </w:r>
      <w:r>
        <w:rPr>
          <w:color w:val="000000"/>
        </w:rPr>
        <w:t xml:space="preserve"> will only be made if the family size is so small that it includes fewer persons than the number of bedrooms, or so large that the household members over age 4 would equal more than two persons per bedroom. </w:t>
      </w:r>
      <w:r>
        <w:rPr>
          <w:b/>
          <w:color w:val="000000"/>
        </w:rPr>
        <w:t>These transfers are mandatory.</w:t>
      </w:r>
    </w:p>
    <w:p w:rsidR="00305180" w:rsidRDefault="00305180">
      <w:pPr>
        <w:autoSpaceDE w:val="0"/>
        <w:autoSpaceDN w:val="0"/>
        <w:adjustRightInd w:val="0"/>
        <w:ind w:left="864"/>
        <w:jc w:val="both"/>
        <w:rPr>
          <w:b/>
          <w:color w:val="000000"/>
        </w:rPr>
      </w:pPr>
    </w:p>
    <w:p w:rsidR="00305180" w:rsidRDefault="00305180">
      <w:pPr>
        <w:autoSpaceDE w:val="0"/>
        <w:autoSpaceDN w:val="0"/>
        <w:adjustRightInd w:val="0"/>
        <w:ind w:left="864"/>
        <w:jc w:val="both"/>
        <w:rPr>
          <w:color w:val="000000"/>
        </w:rPr>
      </w:pPr>
      <w:r>
        <w:rPr>
          <w:color w:val="000000"/>
        </w:rPr>
        <w:t xml:space="preserve">If a family’s size is between the smallest and largest size permissible for the unit, the family may request a transfer, but it shall be considered a Category 3 transfer. </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u w:val="single"/>
        </w:rPr>
        <w:lastRenderedPageBreak/>
        <w:t>Category 3 Administrative transfers:</w:t>
      </w:r>
      <w:r>
        <w:rPr>
          <w:color w:val="000000"/>
        </w:rPr>
        <w:t xml:space="preserve"> may be made to: avoid concentration of the most economically and socially deprived families, correct occupancy standards, or address situations that interfere with peaceful enjoyment of the premises.</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u w:val="single"/>
        </w:rPr>
        <w:t>Incentive Transfers</w:t>
      </w:r>
      <w:r>
        <w:rPr>
          <w:color w:val="000000"/>
        </w:rPr>
        <w:t>: As described in detail below, Incentive Transfers are offered to new or recently modernized units, on a nondiscriminatory basis to residents with good histories.</w:t>
      </w:r>
    </w:p>
    <w:p w:rsidR="00305180" w:rsidRDefault="00305180">
      <w:pPr>
        <w:autoSpaceDE w:val="0"/>
        <w:autoSpaceDN w:val="0"/>
        <w:adjustRightInd w:val="0"/>
        <w:jc w:val="both"/>
        <w:rPr>
          <w:color w:val="000000"/>
        </w:rPr>
      </w:pPr>
    </w:p>
    <w:p w:rsidR="00305180" w:rsidRDefault="00305180">
      <w:pPr>
        <w:autoSpaceDE w:val="0"/>
        <w:autoSpaceDN w:val="0"/>
        <w:adjustRightInd w:val="0"/>
        <w:ind w:left="-360"/>
        <w:jc w:val="both"/>
        <w:rPr>
          <w:color w:val="000000"/>
        </w:rPr>
      </w:pPr>
      <w:r>
        <w:rPr>
          <w:color w:val="000000"/>
        </w:rPr>
        <w:t xml:space="preserve">       Transfer will be made within the same property location unless otherwise requested by the resident. In case of an emergency transfer it is objective to keep resident in the same location circumstance permitting. If the resident is housed in a different location because of an emergency transfer, the resident will be given first opportunity to transfer to their original location.</w:t>
      </w:r>
    </w:p>
    <w:p w:rsidR="00305180" w:rsidRDefault="00305180">
      <w:pPr>
        <w:autoSpaceDE w:val="0"/>
        <w:autoSpaceDN w:val="0"/>
        <w:adjustRightInd w:val="0"/>
        <w:jc w:val="both"/>
        <w:rPr>
          <w:color w:val="000000"/>
        </w:rPr>
      </w:pPr>
    </w:p>
    <w:p w:rsidR="00305180" w:rsidRDefault="00305180">
      <w:pPr>
        <w:pStyle w:val="Heading8"/>
        <w:numPr>
          <w:ilvl w:val="0"/>
          <w:numId w:val="0"/>
        </w:numPr>
        <w:rPr>
          <w:sz w:val="24"/>
        </w:rPr>
      </w:pPr>
      <w:r>
        <w:rPr>
          <w:sz w:val="24"/>
        </w:rPr>
        <w:t>Processing Transfers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A centralized transfer waiting list will be administered by the Public Housing Manager. Tenant(s) submit requests for transfer, including necessary documentation, to the Public Housing Manager.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Transfers will be sorted into their appropriate categories by the Public Housing Manager. Admissions will be made in the following order:</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First: Emergency transfers, then</w:t>
      </w:r>
    </w:p>
    <w:p w:rsidR="00305180" w:rsidRDefault="00305180">
      <w:pPr>
        <w:autoSpaceDE w:val="0"/>
        <w:autoSpaceDN w:val="0"/>
        <w:adjustRightInd w:val="0"/>
        <w:ind w:left="864"/>
        <w:jc w:val="both"/>
        <w:rPr>
          <w:color w:val="000000"/>
        </w:rPr>
      </w:pPr>
      <w:r>
        <w:rPr>
          <w:color w:val="000000"/>
        </w:rPr>
        <w:t>• Category 1 Administrative Transfers,</w:t>
      </w:r>
    </w:p>
    <w:p w:rsidR="00305180" w:rsidRDefault="00305180">
      <w:pPr>
        <w:autoSpaceDE w:val="0"/>
        <w:autoSpaceDN w:val="0"/>
        <w:adjustRightInd w:val="0"/>
        <w:ind w:left="864"/>
        <w:jc w:val="both"/>
        <w:rPr>
          <w:color w:val="000000"/>
        </w:rPr>
      </w:pPr>
      <w:r>
        <w:rPr>
          <w:color w:val="000000"/>
        </w:rPr>
        <w:t>• Category 2 Administrative Transfers, (applicants, and, at a rate of four applicants to every transfer)</w:t>
      </w:r>
    </w:p>
    <w:p w:rsidR="00305180" w:rsidRDefault="00305180">
      <w:pPr>
        <w:autoSpaceDE w:val="0"/>
        <w:autoSpaceDN w:val="0"/>
        <w:adjustRightInd w:val="0"/>
        <w:ind w:left="864"/>
        <w:jc w:val="both"/>
        <w:rPr>
          <w:color w:val="000000"/>
        </w:rPr>
      </w:pPr>
      <w:r>
        <w:rPr>
          <w:color w:val="000000"/>
        </w:rPr>
        <w:t>• Category 3 Administrative Transfers and good cause,</w:t>
      </w:r>
    </w:p>
    <w:p w:rsidR="00305180" w:rsidRDefault="00305180">
      <w:pPr>
        <w:autoSpaceDE w:val="0"/>
        <w:autoSpaceDN w:val="0"/>
        <w:adjustRightInd w:val="0"/>
        <w:ind w:left="864"/>
        <w:jc w:val="both"/>
        <w:rPr>
          <w:color w:val="000000"/>
        </w:rPr>
      </w:pPr>
      <w:r>
        <w:rPr>
          <w:color w:val="000000"/>
        </w:rPr>
        <w:t xml:space="preserve">• Incentive Transfers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Within Category 3 and incentive transfers, transfer applications will be sorted by the date the completed file (including any verification needed) is received from the manager.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Category 2 transfers to correct occupancy standards may be recommended at time of re-examination or interim redetermination.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Residents in a Category 2 over/under housed status will be advised in their 30 day “Notice of Result of Reexamination” that a transfer is recommended and that the family has been placed on the transfer list.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Residents in a Category 2 over/under housed status will be given a 30 day notice of intent to transfer. The notice will include the address and approximate date the unit will be available to occupy. The resident will be notified of the date schedule for lease up in the new unit by the Public Housing Director no earlier than the end of the 30 day intent to transfer unless requested by the resident for an early date.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During this process there will be on going conversation between the Public Housing Director and resident as to the proposed timeline and if there would be any delay due to required maintenance of vacated unit. Once this process is complete, the resident will be given 10 days to vacate and occupy both of the units, during this transition the resident will not be charged rent for both units. </w:t>
      </w:r>
      <w:r w:rsidR="00BB2FC8">
        <w:rPr>
          <w:color w:val="000000"/>
        </w:rPr>
        <w:t xml:space="preserve"> Extenuating circumstances beyond the control of the tenant may be review</w:t>
      </w:r>
      <w:r w:rsidR="00C82199">
        <w:rPr>
          <w:color w:val="000000"/>
        </w:rPr>
        <w:t>ed</w:t>
      </w:r>
      <w:r w:rsidR="00BB2FC8">
        <w:rPr>
          <w:color w:val="000000"/>
        </w:rPr>
        <w:t xml:space="preserve"> on a case by case basis in determining if a longer transition time is needed.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The resident will </w:t>
      </w:r>
      <w:r w:rsidR="00955CBD">
        <w:rPr>
          <w:color w:val="000000"/>
        </w:rPr>
        <w:t xml:space="preserve">not </w:t>
      </w:r>
      <w:r>
        <w:rPr>
          <w:color w:val="000000"/>
        </w:rPr>
        <w:t xml:space="preserve">be required to pay </w:t>
      </w:r>
      <w:r w:rsidR="00955CBD">
        <w:rPr>
          <w:color w:val="000000"/>
        </w:rPr>
        <w:t>a</w:t>
      </w:r>
      <w:r>
        <w:rPr>
          <w:color w:val="000000"/>
        </w:rPr>
        <w:t xml:space="preserve"> down payment for the security deposit at time of lease up for the new unit. The resident can choose to enter into the installment agreement for the remainder of the security deposit or when the resident receives the disposition of the security deposit of the old unit no later than 30 days after the keys have been returned pay the remaining balance owed for the security deposit. </w:t>
      </w:r>
      <w:r w:rsidR="00250326">
        <w:rPr>
          <w:color w:val="000000"/>
        </w:rPr>
        <w:t xml:space="preserve">The resident may request to </w:t>
      </w:r>
      <w:r w:rsidR="00250326">
        <w:rPr>
          <w:color w:val="000000"/>
        </w:rPr>
        <w:lastRenderedPageBreak/>
        <w:t>start the new security deposit payment process once the final invoice for the vacated unit (and any applicable security deposit) has been refunded.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Split-family transfers will be processed as Category 2 administrative transfers.</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Families that split into 2 “new” households may be transferred to two different units or</w:t>
      </w:r>
    </w:p>
    <w:p w:rsidR="00305180" w:rsidRDefault="00305180">
      <w:pPr>
        <w:autoSpaceDE w:val="0"/>
        <w:autoSpaceDN w:val="0"/>
        <w:adjustRightInd w:val="0"/>
        <w:ind w:left="864"/>
        <w:jc w:val="both"/>
        <w:rPr>
          <w:color w:val="000000"/>
        </w:rPr>
      </w:pPr>
      <w:r>
        <w:rPr>
          <w:color w:val="000000"/>
        </w:rPr>
        <w:t xml:space="preserve">• </w:t>
      </w:r>
      <w:proofErr w:type="gramStart"/>
      <w:r>
        <w:rPr>
          <w:color w:val="000000"/>
        </w:rPr>
        <w:t>a</w:t>
      </w:r>
      <w:proofErr w:type="gramEnd"/>
      <w:r>
        <w:rPr>
          <w:color w:val="000000"/>
        </w:rPr>
        <w:t xml:space="preserve"> portion of the “old” household may be transferred to a single unit depending on family circumstances and unit availability.</w:t>
      </w:r>
    </w:p>
    <w:p w:rsidR="00305180" w:rsidRDefault="00305180">
      <w:pPr>
        <w:pStyle w:val="BodyTextIndent"/>
        <w:rPr>
          <w:sz w:val="24"/>
        </w:rPr>
      </w:pPr>
      <w:r>
        <w:rPr>
          <w:sz w:val="24"/>
        </w:rPr>
        <w:t>• Such transfers will be made in a manner that minimizes the impact on vacant units.</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p>
    <w:p w:rsidR="00305180" w:rsidRDefault="00305180">
      <w:pPr>
        <w:pStyle w:val="Heading8"/>
        <w:numPr>
          <w:ilvl w:val="0"/>
          <w:numId w:val="0"/>
        </w:numPr>
        <w:rPr>
          <w:sz w:val="24"/>
        </w:rPr>
      </w:pPr>
      <w:r>
        <w:rPr>
          <w:sz w:val="24"/>
        </w:rPr>
        <w:t>Good Record Requirement for Transfers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In general, and in all cases of all resident-requested transfers, residents will be considered for transfers only if the head of household and any other family members for the past two years:</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have not engaged in criminal activity that threatens the health and safety of residents and staff;</w:t>
      </w:r>
    </w:p>
    <w:p w:rsidR="00305180" w:rsidRDefault="00305180">
      <w:pPr>
        <w:autoSpaceDE w:val="0"/>
        <w:autoSpaceDN w:val="0"/>
        <w:adjustRightInd w:val="0"/>
        <w:ind w:left="864"/>
        <w:jc w:val="both"/>
        <w:rPr>
          <w:color w:val="000000"/>
        </w:rPr>
      </w:pPr>
      <w:r>
        <w:rPr>
          <w:color w:val="000000"/>
        </w:rPr>
        <w:t>• do not owe back rent or other charges, or have a pattern of late payment;</w:t>
      </w:r>
    </w:p>
    <w:p w:rsidR="00305180" w:rsidRDefault="00305180">
      <w:pPr>
        <w:autoSpaceDE w:val="0"/>
        <w:autoSpaceDN w:val="0"/>
        <w:adjustRightInd w:val="0"/>
        <w:ind w:left="864"/>
        <w:jc w:val="both"/>
        <w:rPr>
          <w:color w:val="000000"/>
        </w:rPr>
      </w:pPr>
      <w:r>
        <w:rPr>
          <w:color w:val="000000"/>
        </w:rPr>
        <w:t>• meet reasonable housekeeping standards and have no housekeeping lease violations; and</w:t>
      </w:r>
    </w:p>
    <w:p w:rsidR="00305180" w:rsidRDefault="00305180">
      <w:pPr>
        <w:autoSpaceDE w:val="0"/>
        <w:autoSpaceDN w:val="0"/>
        <w:adjustRightInd w:val="0"/>
        <w:ind w:left="864"/>
        <w:jc w:val="both"/>
        <w:rPr>
          <w:color w:val="000000"/>
        </w:rPr>
      </w:pPr>
      <w:r>
        <w:rPr>
          <w:color w:val="000000"/>
        </w:rPr>
        <w:t>• can get utilities turned on in the name of the head of household (applicable only to properties with tenant-paid utilities).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Exceptions to the good record requirements may be made for emergency transfers or when it is to HADCO’s advantage to make the transfer. The exception to the good record requirement will be made by the Public Housing Manager.</w:t>
      </w:r>
    </w:p>
    <w:p w:rsidR="00305180" w:rsidRDefault="00305180">
      <w:pPr>
        <w:autoSpaceDE w:val="0"/>
        <w:autoSpaceDN w:val="0"/>
        <w:adjustRightInd w:val="0"/>
        <w:ind w:left="360"/>
        <w:jc w:val="both"/>
        <w:rPr>
          <w:color w:val="000000"/>
        </w:rPr>
      </w:pPr>
    </w:p>
    <w:p w:rsidR="00305180" w:rsidRDefault="00305180">
      <w:pPr>
        <w:autoSpaceDE w:val="0"/>
        <w:autoSpaceDN w:val="0"/>
        <w:adjustRightInd w:val="0"/>
        <w:jc w:val="both"/>
        <w:rPr>
          <w:color w:val="000000"/>
        </w:rPr>
      </w:pPr>
      <w:r>
        <w:rPr>
          <w:color w:val="000000"/>
        </w:rPr>
        <w:t>Unless the transfer is for an emergency situation, the following policy applies to transfers:</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rPr>
        <w:t xml:space="preserve">• If back rent is owed, the resident will not be transferred until a payment plan is established or, if prior payment plans have </w:t>
      </w:r>
      <w:proofErr w:type="gramStart"/>
      <w:r>
        <w:rPr>
          <w:color w:val="000000"/>
        </w:rPr>
        <w:t>failed,</w:t>
      </w:r>
      <w:proofErr w:type="gramEnd"/>
      <w:r>
        <w:rPr>
          <w:color w:val="000000"/>
        </w:rPr>
        <w:t xml:space="preserve"> back rent is paid in full.</w:t>
      </w:r>
    </w:p>
    <w:p w:rsidR="00305180" w:rsidRDefault="00305180">
      <w:pPr>
        <w:autoSpaceDE w:val="0"/>
        <w:autoSpaceDN w:val="0"/>
        <w:adjustRightInd w:val="0"/>
        <w:ind w:left="864"/>
        <w:jc w:val="both"/>
        <w:rPr>
          <w:color w:val="000000"/>
        </w:rPr>
      </w:pPr>
      <w:r>
        <w:rPr>
          <w:color w:val="000000"/>
        </w:rPr>
        <w:t>• A resident with housekeeping standards violations will not be transferred until he/she passes a follow-up housekeeping inspection.</w:t>
      </w:r>
    </w:p>
    <w:p w:rsidR="00305180" w:rsidRDefault="00305180">
      <w:pPr>
        <w:autoSpaceDE w:val="0"/>
        <w:autoSpaceDN w:val="0"/>
        <w:adjustRightInd w:val="0"/>
        <w:jc w:val="both"/>
        <w:rPr>
          <w:color w:val="000000"/>
        </w:rPr>
      </w:pPr>
    </w:p>
    <w:p w:rsidR="00305180" w:rsidRDefault="00305180">
      <w:pPr>
        <w:pStyle w:val="Heading8"/>
        <w:numPr>
          <w:ilvl w:val="0"/>
          <w:numId w:val="0"/>
        </w:numPr>
        <w:rPr>
          <w:sz w:val="24"/>
        </w:rPr>
      </w:pPr>
      <w:r>
        <w:rPr>
          <w:sz w:val="24"/>
        </w:rPr>
        <w:t>Incentive Transfers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Incentive transfers are offered to residents who have good rental histories and want to move to units other than those they currently occupy on a non-discriminatory basis.</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(a) Incentive Transfers - HADCO may occupy recently modernized and scattered site units through incentive transfers. Modernized units will be filled with incentive transfers, new applicants, or a combination of both in a manner that has the least impact on vacant units.</w:t>
      </w:r>
    </w:p>
    <w:p w:rsidR="00305180" w:rsidRDefault="00305180">
      <w:pPr>
        <w:autoSpaceDE w:val="0"/>
        <w:autoSpaceDN w:val="0"/>
        <w:adjustRightInd w:val="0"/>
        <w:ind w:left="864"/>
        <w:jc w:val="both"/>
        <w:rPr>
          <w:color w:val="000000"/>
        </w:rPr>
      </w:pPr>
      <w:r>
        <w:rPr>
          <w:color w:val="000000"/>
        </w:rPr>
        <w:t>(b) Resident requests for incentive transfers should be made to the Public Housing Manager. The Public Housing Manager may also recommend a resident for an incentive transfer. To be considered for an incentive transfer, the following conditions must be met:</w:t>
      </w:r>
    </w:p>
    <w:p w:rsidR="00305180" w:rsidRDefault="00305180">
      <w:pPr>
        <w:autoSpaceDE w:val="0"/>
        <w:autoSpaceDN w:val="0"/>
        <w:adjustRightInd w:val="0"/>
        <w:ind w:left="1008"/>
        <w:jc w:val="both"/>
        <w:rPr>
          <w:color w:val="000000"/>
        </w:rPr>
      </w:pPr>
      <w:r>
        <w:rPr>
          <w:color w:val="000000"/>
        </w:rPr>
        <w:t>1. Residency in a HADCO development for at least three years.</w:t>
      </w:r>
    </w:p>
    <w:p w:rsidR="00305180" w:rsidRDefault="00305180">
      <w:pPr>
        <w:autoSpaceDE w:val="0"/>
        <w:autoSpaceDN w:val="0"/>
        <w:adjustRightInd w:val="0"/>
        <w:ind w:left="1008"/>
        <w:jc w:val="both"/>
        <w:rPr>
          <w:color w:val="000000"/>
        </w:rPr>
      </w:pPr>
      <w:r>
        <w:rPr>
          <w:color w:val="000000"/>
        </w:rPr>
        <w:t>2. No more than two repayment agreements, or unpaid balances based on retro rent at any time in the past two (2) years.</w:t>
      </w:r>
    </w:p>
    <w:p w:rsidR="00305180" w:rsidRDefault="00305180">
      <w:pPr>
        <w:autoSpaceDE w:val="0"/>
        <w:autoSpaceDN w:val="0"/>
        <w:adjustRightInd w:val="0"/>
        <w:ind w:left="1008"/>
        <w:jc w:val="both"/>
        <w:rPr>
          <w:color w:val="000000"/>
        </w:rPr>
      </w:pPr>
      <w:proofErr w:type="gramStart"/>
      <w:r>
        <w:rPr>
          <w:color w:val="000000"/>
        </w:rPr>
        <w:t>3.No</w:t>
      </w:r>
      <w:proofErr w:type="gramEnd"/>
      <w:r>
        <w:rPr>
          <w:color w:val="000000"/>
        </w:rPr>
        <w:t xml:space="preserve"> violence toward staff or neighbors as indicated by notices of lease violation in the applicant’s file.</w:t>
      </w:r>
    </w:p>
    <w:p w:rsidR="00305180" w:rsidRDefault="00305180">
      <w:pPr>
        <w:autoSpaceDE w:val="0"/>
        <w:autoSpaceDN w:val="0"/>
        <w:adjustRightInd w:val="0"/>
        <w:ind w:left="1008"/>
        <w:jc w:val="both"/>
        <w:rPr>
          <w:color w:val="000000"/>
        </w:rPr>
      </w:pPr>
      <w:r>
        <w:rPr>
          <w:color w:val="000000"/>
        </w:rPr>
        <w:t>4. Good housekeeping record.</w:t>
      </w:r>
    </w:p>
    <w:p w:rsidR="00305180" w:rsidRDefault="00305180">
      <w:pPr>
        <w:autoSpaceDE w:val="0"/>
        <w:autoSpaceDN w:val="0"/>
        <w:adjustRightInd w:val="0"/>
        <w:ind w:left="1008"/>
        <w:jc w:val="both"/>
        <w:rPr>
          <w:color w:val="000000"/>
        </w:rPr>
      </w:pPr>
    </w:p>
    <w:p w:rsidR="00305180" w:rsidRDefault="00305180">
      <w:pPr>
        <w:autoSpaceDE w:val="0"/>
        <w:autoSpaceDN w:val="0"/>
        <w:adjustRightInd w:val="0"/>
        <w:jc w:val="both"/>
        <w:rPr>
          <w:color w:val="000000"/>
        </w:rPr>
      </w:pPr>
      <w:r>
        <w:rPr>
          <w:color w:val="000000"/>
        </w:rPr>
        <w:t>Incentive transfers are Category 2 administrative transfers.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Paying for Transfers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HADCO must bear the reasonable costs of transfers they initiate (demolition, disposition, revitalization or rehabilitation), transfers required because HADCO’s lease obligations are not being met (building system failures, other emergency conditions HADCO is unable to repair within 24 hours), as well as the cost of all transfers needed as a reasonable accommodation for residents with disabilities. Residents must bear the costs associated with occupancy transfers, incentive transfers and all resident initiated transfers.</w:t>
      </w:r>
    </w:p>
    <w:p w:rsidR="00305180" w:rsidRDefault="00305180">
      <w:pPr>
        <w:autoSpaceDE w:val="0"/>
        <w:autoSpaceDN w:val="0"/>
        <w:adjustRightInd w:val="0"/>
        <w:jc w:val="both"/>
        <w:rPr>
          <w:color w:val="000000"/>
        </w:rPr>
      </w:pPr>
    </w:p>
    <w:p w:rsidR="00305180" w:rsidRDefault="00305180">
      <w:pPr>
        <w:autoSpaceDE w:val="0"/>
        <w:autoSpaceDN w:val="0"/>
        <w:adjustRightInd w:val="0"/>
        <w:jc w:val="center"/>
        <w:rPr>
          <w:b/>
          <w:color w:val="000000"/>
        </w:rPr>
      </w:pPr>
      <w:r>
        <w:rPr>
          <w:b/>
          <w:color w:val="000000"/>
        </w:rPr>
        <w:t>VI. Eligibility for Continued Occupancy, Annual Reexaminations,</w:t>
      </w:r>
    </w:p>
    <w:p w:rsidR="00305180" w:rsidRDefault="00305180">
      <w:pPr>
        <w:autoSpaceDE w:val="0"/>
        <w:autoSpaceDN w:val="0"/>
        <w:adjustRightInd w:val="0"/>
        <w:jc w:val="center"/>
        <w:rPr>
          <w:b/>
          <w:color w:val="000000"/>
        </w:rPr>
      </w:pPr>
      <w:proofErr w:type="gramStart"/>
      <w:r>
        <w:rPr>
          <w:b/>
          <w:color w:val="000000"/>
        </w:rPr>
        <w:t>and</w:t>
      </w:r>
      <w:proofErr w:type="gramEnd"/>
      <w:r>
        <w:rPr>
          <w:b/>
          <w:color w:val="000000"/>
        </w:rPr>
        <w:t xml:space="preserve"> Remaining Family Members</w:t>
      </w:r>
    </w:p>
    <w:p w:rsidR="00305180" w:rsidRDefault="00305180">
      <w:pPr>
        <w:autoSpaceDE w:val="0"/>
        <w:autoSpaceDN w:val="0"/>
        <w:adjustRightInd w:val="0"/>
        <w:jc w:val="both"/>
        <w:rPr>
          <w:b/>
          <w:color w:val="000000"/>
        </w:rPr>
      </w:pPr>
    </w:p>
    <w:p w:rsidR="00305180" w:rsidRDefault="00305180">
      <w:pPr>
        <w:pStyle w:val="Heading9"/>
      </w:pPr>
      <w:r>
        <w:t>Eligibility for Continued Occupancy</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 xml:space="preserve">Residents who meet the following criteria will be eligible for continued occupancy: </w:t>
      </w:r>
    </w:p>
    <w:p w:rsidR="00305180" w:rsidRDefault="00305180">
      <w:pPr>
        <w:autoSpaceDE w:val="0"/>
        <w:autoSpaceDN w:val="0"/>
        <w:adjustRightInd w:val="0"/>
        <w:jc w:val="both"/>
        <w:rPr>
          <w:color w:val="000000"/>
        </w:rPr>
      </w:pPr>
    </w:p>
    <w:p w:rsidR="00305180" w:rsidRDefault="00305180">
      <w:pPr>
        <w:autoSpaceDE w:val="0"/>
        <w:autoSpaceDN w:val="0"/>
        <w:adjustRightInd w:val="0"/>
        <w:ind w:left="504"/>
        <w:jc w:val="both"/>
        <w:rPr>
          <w:color w:val="000000"/>
        </w:rPr>
      </w:pPr>
      <w:r>
        <w:rPr>
          <w:color w:val="000000"/>
        </w:rPr>
        <w:t>1. Qualify as a family as defined in CFR 5.100.</w:t>
      </w:r>
    </w:p>
    <w:p w:rsidR="00305180" w:rsidRDefault="00305180">
      <w:pPr>
        <w:autoSpaceDE w:val="0"/>
        <w:autoSpaceDN w:val="0"/>
        <w:adjustRightInd w:val="0"/>
        <w:ind w:left="504"/>
        <w:jc w:val="both"/>
        <w:rPr>
          <w:color w:val="000000"/>
        </w:rPr>
      </w:pPr>
      <w:r>
        <w:rPr>
          <w:color w:val="000000"/>
        </w:rPr>
        <w:t xml:space="preserve">2. Are in full compliance with the resident obligations and responsibilities as described in the dwelling lease. </w:t>
      </w:r>
    </w:p>
    <w:p w:rsidR="00305180" w:rsidRDefault="00305180">
      <w:pPr>
        <w:autoSpaceDE w:val="0"/>
        <w:autoSpaceDN w:val="0"/>
        <w:adjustRightInd w:val="0"/>
        <w:jc w:val="both"/>
        <w:rPr>
          <w:color w:val="000000"/>
        </w:rPr>
      </w:pPr>
      <w:r>
        <w:rPr>
          <w:color w:val="000000"/>
        </w:rPr>
        <w:t xml:space="preserve">        3. Whose family members each have Social Security </w:t>
      </w:r>
      <w:proofErr w:type="gramStart"/>
      <w:r>
        <w:rPr>
          <w:color w:val="000000"/>
        </w:rPr>
        <w:t>numbers.</w:t>
      </w:r>
      <w:proofErr w:type="gramEnd"/>
    </w:p>
    <w:p w:rsidR="00305180" w:rsidRDefault="00305180">
      <w:pPr>
        <w:autoSpaceDE w:val="0"/>
        <w:autoSpaceDN w:val="0"/>
        <w:adjustRightInd w:val="0"/>
        <w:jc w:val="both"/>
        <w:rPr>
          <w:color w:val="000000"/>
        </w:rPr>
      </w:pPr>
      <w:r>
        <w:rPr>
          <w:color w:val="000000"/>
        </w:rPr>
        <w:t xml:space="preserve">        4. Who meet HUD standards on citizenship or immigration status or are paying a pro-rated rent.</w:t>
      </w:r>
    </w:p>
    <w:p w:rsidR="00305180" w:rsidRDefault="00305180">
      <w:pPr>
        <w:autoSpaceDE w:val="0"/>
        <w:autoSpaceDN w:val="0"/>
        <w:adjustRightInd w:val="0"/>
        <w:ind w:left="504"/>
        <w:jc w:val="both"/>
        <w:rPr>
          <w:color w:val="000000"/>
        </w:rPr>
      </w:pPr>
      <w:r>
        <w:rPr>
          <w:color w:val="000000"/>
        </w:rPr>
        <w:t xml:space="preserve">5. Who are in compliance with HADCO’s 8 hour per month community service </w:t>
      </w:r>
      <w:proofErr w:type="gramStart"/>
      <w:r>
        <w:rPr>
          <w:color w:val="000000"/>
        </w:rPr>
        <w:t>requirements.</w:t>
      </w:r>
      <w:proofErr w:type="gramEnd"/>
    </w:p>
    <w:p w:rsidR="00305180" w:rsidRDefault="00305180">
      <w:pPr>
        <w:autoSpaceDE w:val="0"/>
        <w:autoSpaceDN w:val="0"/>
        <w:adjustRightInd w:val="0"/>
        <w:ind w:left="360"/>
        <w:jc w:val="both"/>
        <w:rPr>
          <w:color w:val="000000"/>
        </w:r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Remaining Family Members and Prior Debt</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Remaining family members age 18 years or older will be held responsible for arrearages incurred by the former head or spouse. HADCO will not hold remaining family members (other than the head or spouse) responsible for any portion of the arrearage incurred before the remaining member attained age 18.</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Remaining family members under age 18 shall not be held responsible for the rent arrearages incurred by the former head of household.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Reexaminations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Annual reexaminations: HADCO shall, at least once a year, re-examine the family composition and incomes of all resident families, except that families paying Flat Rent shall have their incomes reexamined only every three years.</w:t>
      </w:r>
      <w:r w:rsidR="00804672">
        <w:rPr>
          <w:color w:val="000000"/>
        </w:rPr>
        <w:t xml:space="preserve"> A family can request one time in their occupancy a change in the month that their reexamination is scheduled. The family must request the change four months prior to the month that the family is requesting their annual reexamination be schedulued.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Interim Reexaminations: When it is not possible to estimate family income accurately, a temporary determination will be made with respect to income and a special reexamination will be scheduled every 30 days until a reasonably accurate estimate of income can be made.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Interim reexamination shall be conducted when there is a change in the head of household that requires a remaining family member to take on the responsibilities of a leaseholder.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Interim Reexamination Date Following Income Disallowance: When a family qualifies for an earned income disallowance, the date for their next interim reexamination shall be permanently adjusted to be 12 months following the date that the income disallowance began.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u w:val="single"/>
        </w:rPr>
        <w:t>Families not paying rent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All families not paying rent will be required to complete a monthly minimum income statement. This includes only non-exempt income. Families </w:t>
      </w:r>
      <w:proofErr w:type="gramStart"/>
      <w:r>
        <w:rPr>
          <w:color w:val="000000"/>
        </w:rPr>
        <w:t>who’s</w:t>
      </w:r>
      <w:proofErr w:type="gramEnd"/>
      <w:r>
        <w:rPr>
          <w:color w:val="000000"/>
        </w:rPr>
        <w:t xml:space="preserve"> rent is $0 due to exempt income are not required to complete the monthly minimum income statements. Monetary or non-monetary contributions from persons not residing in the dwelling unit for any purpose other than the payment or reimbursement of medical expenses shall be considered income. The monthly minimum income statement will require all income and expenses for the household to be itemized and reviewed by </w:t>
      </w:r>
      <w:proofErr w:type="gramStart"/>
      <w:r>
        <w:rPr>
          <w:color w:val="000000"/>
        </w:rPr>
        <w:t>HADCO .</w:t>
      </w:r>
      <w:proofErr w:type="gramEnd"/>
      <w:r>
        <w:rPr>
          <w:color w:val="000000"/>
        </w:rPr>
        <w:t xml:space="preserve">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Reexamination Procedures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 At the time of reexamination, all adult members of the household will be required to sign an application for continued occupancy and other forms required by HUD.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(b) Income, allowances, Social Security numbers, and such other data as is deemed necessary will be verified, and all verified findings will be filed in the resident’s folder.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(d) Verified information will be analyzed and a determination made with respect to:</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w:t>
      </w:r>
      <w:proofErr w:type="spellStart"/>
      <w:r>
        <w:rPr>
          <w:color w:val="000000"/>
        </w:rPr>
        <w:t>i</w:t>
      </w:r>
      <w:proofErr w:type="spellEnd"/>
      <w:r>
        <w:rPr>
          <w:color w:val="000000"/>
        </w:rPr>
        <w:t>) Eligibility of the resident as a family or as the remaining member of a family;</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rPr>
        <w:t>(ii) Unit size required for the family (using the Occupancy Guidelines); and</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r>
        <w:rPr>
          <w:color w:val="000000"/>
        </w:rPr>
        <w:t>(iii) Rent the family should pay.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(e) Residents with a history of seasonal employment whose reexamination occurs when they are not employed will have income anticipated based on past and anticipated employment. Residents with seasonal or part-time employment of a cyclical nature will be asked for third party documentation of their employment including start and ending dates.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(f) Income shall be computed in accordance with the definitions and procedures set forth in Federal regulations and this policy. See Appendix A</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(g) Families failing to respond to the initial reexamination process will be issued a final appointment within the same month. Failure to respond to the final request will result in the family being sent a notice of lease violation and referred to the Housing Manager for termination of the lease.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u w:val="single"/>
        </w:rPr>
      </w:pPr>
      <w:r>
        <w:rPr>
          <w:color w:val="000000"/>
          <w:u w:val="single"/>
        </w:rPr>
        <w:t>Action Following Reexamination</w:t>
      </w:r>
    </w:p>
    <w:p w:rsidR="00305180" w:rsidRDefault="00305180">
      <w:pPr>
        <w:autoSpaceDE w:val="0"/>
        <w:autoSpaceDN w:val="0"/>
        <w:adjustRightInd w:val="0"/>
        <w:jc w:val="both"/>
        <w:rPr>
          <w:color w:val="000000"/>
          <w:u w:val="single"/>
        </w:rPr>
      </w:pPr>
    </w:p>
    <w:p w:rsidR="00305180" w:rsidRDefault="00305180">
      <w:pPr>
        <w:autoSpaceDE w:val="0"/>
        <w:autoSpaceDN w:val="0"/>
        <w:adjustRightInd w:val="0"/>
        <w:jc w:val="both"/>
        <w:rPr>
          <w:color w:val="000000"/>
        </w:rPr>
      </w:pPr>
      <w:r>
        <w:rPr>
          <w:color w:val="000000"/>
        </w:rPr>
        <w:t>(a) If there is any change in rent, the lease will be amended, a new lease will be executed, or a Notice of Rent Adjustment will be issued.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(b) If any change in the unit size is required, the resident will be placed on a transfer list in accordance with the transfer criteria described above in this policy and moved to an appropriate unit when one becomes available.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lastRenderedPageBreak/>
        <w:t>Community Service Requirement (CFR 960.600)</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Quality Housing and Work Responsibility Act of 1998 requires that all non-exempt public housing tenant(s), eighteen years and older, perform eight hours per month community service or participate in eight hours per month of training, counseling, classes, or other activities that help an individual obtain self sufficiency. Any Resident serving on the HADCO Board of Commissioners or serving on HADCO’s Resident Council will meet the community service requirement.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Community service is considered the performance of voluntary work or duties that are a public benefit, and serve to improve the quality of life, enhance resident self-sufficiency, or increase resident self-responsibility in the community. Community Service is not employment and may not include political activities.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An exempt individual is an adult who;</w:t>
      </w:r>
    </w:p>
    <w:p w:rsidR="00305180" w:rsidRDefault="00305180">
      <w:pPr>
        <w:pStyle w:val="Title"/>
        <w:jc w:val="both"/>
        <w:rPr>
          <w:sz w:val="24"/>
        </w:rPr>
      </w:pPr>
    </w:p>
    <w:p w:rsidR="00305180" w:rsidRDefault="00305180">
      <w:pPr>
        <w:pStyle w:val="Title"/>
        <w:numPr>
          <w:ilvl w:val="0"/>
          <w:numId w:val="18"/>
        </w:numPr>
        <w:jc w:val="both"/>
        <w:rPr>
          <w:rFonts w:ascii="Times New Roman" w:hAnsi="Times New Roman"/>
          <w:sz w:val="24"/>
        </w:rPr>
      </w:pPr>
      <w:r>
        <w:rPr>
          <w:rFonts w:ascii="Times New Roman" w:hAnsi="Times New Roman"/>
          <w:sz w:val="24"/>
        </w:rPr>
        <w:t>62 years or older</w:t>
      </w:r>
    </w:p>
    <w:p w:rsidR="00305180" w:rsidRDefault="00305180">
      <w:pPr>
        <w:pStyle w:val="Title"/>
        <w:numPr>
          <w:ilvl w:val="0"/>
          <w:numId w:val="18"/>
        </w:numPr>
        <w:jc w:val="both"/>
        <w:rPr>
          <w:rFonts w:ascii="Times New Roman" w:hAnsi="Times New Roman"/>
          <w:sz w:val="24"/>
        </w:rPr>
      </w:pPr>
      <w:r>
        <w:rPr>
          <w:rFonts w:ascii="Times New Roman" w:hAnsi="Times New Roman"/>
          <w:sz w:val="24"/>
        </w:rPr>
        <w:t>Person is blind or disabled.</w:t>
      </w:r>
    </w:p>
    <w:p w:rsidR="00305180" w:rsidRDefault="00305180">
      <w:pPr>
        <w:pStyle w:val="Title"/>
        <w:numPr>
          <w:ilvl w:val="0"/>
          <w:numId w:val="18"/>
        </w:numPr>
        <w:jc w:val="both"/>
        <w:rPr>
          <w:rFonts w:ascii="Times New Roman" w:hAnsi="Times New Roman"/>
          <w:sz w:val="24"/>
        </w:rPr>
      </w:pPr>
      <w:proofErr w:type="gramStart"/>
      <w:r>
        <w:rPr>
          <w:rFonts w:ascii="Times New Roman" w:hAnsi="Times New Roman"/>
          <w:sz w:val="24"/>
        </w:rPr>
        <w:t>Caretaker of a person with disability.</w:t>
      </w:r>
      <w:proofErr w:type="gramEnd"/>
    </w:p>
    <w:p w:rsidR="00305180" w:rsidRDefault="00305180">
      <w:pPr>
        <w:pStyle w:val="Title"/>
        <w:numPr>
          <w:ilvl w:val="0"/>
          <w:numId w:val="18"/>
        </w:numPr>
        <w:jc w:val="both"/>
        <w:rPr>
          <w:rFonts w:ascii="Times New Roman" w:hAnsi="Times New Roman"/>
          <w:sz w:val="24"/>
        </w:rPr>
      </w:pPr>
      <w:proofErr w:type="gramStart"/>
      <w:r>
        <w:rPr>
          <w:rFonts w:ascii="Times New Roman" w:hAnsi="Times New Roman"/>
          <w:sz w:val="24"/>
        </w:rPr>
        <w:t>Is engaged in work activities.</w:t>
      </w:r>
      <w:proofErr w:type="gramEnd"/>
      <w:r>
        <w:rPr>
          <w:rFonts w:ascii="Times New Roman" w:hAnsi="Times New Roman"/>
          <w:sz w:val="24"/>
        </w:rPr>
        <w:t xml:space="preserve"> </w:t>
      </w:r>
    </w:p>
    <w:p w:rsidR="00305180" w:rsidRDefault="00305180">
      <w:pPr>
        <w:pStyle w:val="Title"/>
        <w:numPr>
          <w:ilvl w:val="0"/>
          <w:numId w:val="18"/>
        </w:numPr>
        <w:jc w:val="both"/>
        <w:rPr>
          <w:rFonts w:ascii="Times New Roman" w:hAnsi="Times New Roman"/>
          <w:sz w:val="24"/>
        </w:rPr>
      </w:pPr>
      <w:r>
        <w:rPr>
          <w:rFonts w:ascii="Times New Roman" w:hAnsi="Times New Roman"/>
          <w:sz w:val="24"/>
        </w:rPr>
        <w:t xml:space="preserve">Certified as exempt from work activities under a State Programs as stated by the Social Security Act or any other welfare state program; and </w:t>
      </w:r>
    </w:p>
    <w:p w:rsidR="00305180" w:rsidRDefault="00305180">
      <w:pPr>
        <w:pStyle w:val="Title"/>
        <w:numPr>
          <w:ilvl w:val="0"/>
          <w:numId w:val="18"/>
        </w:numPr>
        <w:jc w:val="both"/>
        <w:rPr>
          <w:rFonts w:ascii="Times New Roman" w:hAnsi="Times New Roman"/>
          <w:sz w:val="24"/>
        </w:rPr>
      </w:pPr>
      <w:proofErr w:type="gramStart"/>
      <w:r>
        <w:rPr>
          <w:rFonts w:ascii="Times New Roman" w:hAnsi="Times New Roman"/>
          <w:sz w:val="24"/>
        </w:rPr>
        <w:t>Members of a family receiving benefits from a State Welfare Program in compliance with the program’s requirements.</w:t>
      </w:r>
      <w:proofErr w:type="gramEnd"/>
    </w:p>
    <w:p w:rsidR="00305180" w:rsidRDefault="00305180">
      <w:pPr>
        <w:pStyle w:val="Title"/>
        <w:numPr>
          <w:ilvl w:val="0"/>
          <w:numId w:val="18"/>
        </w:numPr>
        <w:jc w:val="both"/>
        <w:rPr>
          <w:rFonts w:ascii="Times New Roman" w:hAnsi="Times New Roman"/>
          <w:sz w:val="24"/>
        </w:rPr>
      </w:pPr>
      <w:proofErr w:type="gramStart"/>
      <w:r>
        <w:rPr>
          <w:rFonts w:ascii="Times New Roman" w:hAnsi="Times New Roman"/>
          <w:sz w:val="24"/>
        </w:rPr>
        <w:t>Performing eight hours per month in an economic self-sufficiency program.</w:t>
      </w:r>
      <w:proofErr w:type="gramEnd"/>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Tenants must self-certify they have received a copy of the Community Service Requirement and certify if they are exempt from community service. Verification of exemption may be required.</w:t>
      </w:r>
    </w:p>
    <w:p w:rsidR="00305180" w:rsidRDefault="00305180">
      <w:pPr>
        <w:autoSpaceDE w:val="0"/>
        <w:autoSpaceDN w:val="0"/>
        <w:adjustRightInd w:val="0"/>
        <w:jc w:val="both"/>
        <w:rPr>
          <w:color w:val="000000"/>
        </w:rPr>
      </w:pPr>
    </w:p>
    <w:p w:rsidR="00305180" w:rsidRDefault="00305180">
      <w:pPr>
        <w:pStyle w:val="BodyText3"/>
      </w:pPr>
      <w:r>
        <w:t>Tenant(s) will be notified at time exemption is no longer valid of their requirement to perform community service. HADCO will review, at annual re-certification, tenants who are required to turn in community service for any duration they were not considered exempt. Required individuals must provide signed certification of community service from the organization in which the service was performed. Tenants may find their own community service or receive assistance from HADCO’s Community Service Coordinator.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Resident Lease Agreement will be terminated by HADCO if required tenant(s) are not in compliance with the Community Service Requirement at the time of their annual re-certification. Tenant(s) have the right to the grievance process if disputing the termination.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Tenant(s) may be allowed to make up Community Service hours if a written request is agreed upon between HADCO and the tenant(s) to make up the missing community service. Tenant(s) may have up to twelve months to make up the Community Service with no less than eight hours per month of the delinquent hours due per month. This does not account for any current community service hours being due.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t>The family may provide written assurance satisfactory to HADCO the tenant or other noncompliant resident no longer resides in the unit.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
    <w:p w:rsidR="00305180" w:rsidRDefault="00305180">
      <w:pPr>
        <w:autoSpaceDE w:val="0"/>
        <w:autoSpaceDN w:val="0"/>
        <w:adjustRightInd w:val="0"/>
        <w:jc w:val="center"/>
        <w:rPr>
          <w:b/>
          <w:color w:val="000000"/>
          <w:u w:val="single"/>
        </w:rPr>
      </w:pPr>
      <w:r>
        <w:rPr>
          <w:b/>
          <w:color w:val="000000"/>
          <w:u w:val="single"/>
        </w:rPr>
        <w:t>VII. Inspections</w:t>
      </w:r>
    </w:p>
    <w:p w:rsidR="00305180" w:rsidRDefault="00305180">
      <w:pPr>
        <w:tabs>
          <w:tab w:val="left" w:pos="-1080"/>
          <w:tab w:val="left" w:pos="-720"/>
          <w:tab w:val="left" w:pos="450"/>
        </w:tabs>
        <w:jc w:val="both"/>
      </w:pPr>
    </w:p>
    <w:p w:rsidR="00305180" w:rsidRDefault="00305180">
      <w:pPr>
        <w:jc w:val="both"/>
        <w:rPr>
          <w:b/>
        </w:rPr>
      </w:pPr>
      <w:r>
        <w:rPr>
          <w:b/>
        </w:rPr>
        <w:t>Move In Inspections</w:t>
      </w:r>
    </w:p>
    <w:p w:rsidR="00305180" w:rsidRDefault="00305180">
      <w:pPr>
        <w:jc w:val="both"/>
        <w:rPr>
          <w:b/>
        </w:rPr>
      </w:pPr>
    </w:p>
    <w:p w:rsidR="00305180" w:rsidRDefault="00305180">
      <w:pPr>
        <w:jc w:val="both"/>
      </w:pPr>
      <w:r>
        <w:lastRenderedPageBreak/>
        <w:t>An authorized representative of the Housing Authority of Douglas County and an adult family member will inspect the premises prior to commencement of occupancy. A written statement of the condition of the premises will be made, all equipment will be provided, and the statement will be signed by both parties. An authorized Housing Authority of Douglas County representative will inspect the premises at the time the resident vacates and will furnish a statement of any charges to be assessed to the tenant. The resident's security deposit can be used to offset against any Housing Authority of Douglas County damages to the unit. The resident’s security deposit will not be used to repair normal wear and tear.</w:t>
      </w:r>
    </w:p>
    <w:p w:rsidR="00305180" w:rsidRDefault="00305180">
      <w:pPr>
        <w:jc w:val="both"/>
      </w:pPr>
    </w:p>
    <w:p w:rsidR="00305180" w:rsidRDefault="00305180">
      <w:pPr>
        <w:jc w:val="both"/>
        <w:rPr>
          <w:b/>
        </w:rPr>
      </w:pPr>
      <w:r>
        <w:rPr>
          <w:b/>
        </w:rPr>
        <w:t>Annual Inspections</w:t>
      </w:r>
    </w:p>
    <w:p w:rsidR="00305180" w:rsidRDefault="00305180">
      <w:pPr>
        <w:jc w:val="both"/>
        <w:rPr>
          <w:b/>
        </w:rPr>
      </w:pPr>
    </w:p>
    <w:p w:rsidR="00305180" w:rsidRDefault="00305180">
      <w:pPr>
        <w:autoSpaceDE w:val="0"/>
        <w:autoSpaceDN w:val="0"/>
        <w:adjustRightInd w:val="0"/>
        <w:jc w:val="both"/>
        <w:rPr>
          <w:color w:val="000000"/>
        </w:rPr>
      </w:pPr>
      <w:r>
        <w:rPr>
          <w:color w:val="000000"/>
        </w:rPr>
        <w:t xml:space="preserve">HADCO is required to perform Uniform Physical Condition Standard Inspections (UPCS) once a year.  HADCO will combine the UPCS inspection with an annual inspection once a year.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will give a minimum of 48 hours notice of intent to enter the unit.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will notify the tenants at time of lease up and at inspection notification of expected standard condition of unit.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Families may request to re-schedule the inspection in situations beyond their control, such as a family emergency, hospitalization, etc, as long as the inspection is still conducted within twelve months of the previous inspection. If the family is not present during the inspection HADCO will leave notification of a pass or fail.</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Families failing a UPCS/Annual inspection will be required to remedy the findings and a re-inspection will be conducted within twenty four hours to fourteen days depending on the level or severity of the finding.</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Failed inspections due to housekeeping or repeated damage to units may be subject to                                 </w:t>
      </w:r>
      <w:r>
        <w:rPr>
          <w:color w:val="000000"/>
        </w:rPr>
        <w:br/>
        <w:t>more frequent inspections.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Failure to pass a UPCS/Annual inspection or repeated findings will result in termination of the Resident Lease Agreement subject to the grievance process.</w:t>
      </w:r>
    </w:p>
    <w:p w:rsidR="00305180" w:rsidRDefault="00305180">
      <w:pPr>
        <w:jc w:val="both"/>
      </w:pPr>
    </w:p>
    <w:p w:rsidR="00305180" w:rsidRDefault="00305180">
      <w:pPr>
        <w:jc w:val="both"/>
      </w:pPr>
      <w:r>
        <w:t>Work orders will be submitted and completed to correct any deficiencies required by HADCO to correct.</w:t>
      </w:r>
    </w:p>
    <w:p w:rsidR="00250326" w:rsidRDefault="00250326">
      <w:pPr>
        <w:jc w:val="both"/>
      </w:pPr>
    </w:p>
    <w:p w:rsidR="00250326" w:rsidRDefault="00250326">
      <w:pPr>
        <w:jc w:val="both"/>
      </w:pPr>
      <w:r>
        <w:t>Resident(s) will be notified at the end of the inspection as to the results of their inspection (pass or fail).</w:t>
      </w:r>
    </w:p>
    <w:p w:rsidR="00305180" w:rsidRDefault="00305180">
      <w:pPr>
        <w:jc w:val="both"/>
      </w:pPr>
    </w:p>
    <w:p w:rsidR="00305180" w:rsidRDefault="00305180">
      <w:pPr>
        <w:pStyle w:val="Heading2"/>
        <w:jc w:val="both"/>
        <w:rPr>
          <w:rFonts w:ascii="Times New Roman" w:hAnsi="Times New Roman"/>
          <w:sz w:val="24"/>
          <w:u w:val="none"/>
        </w:rPr>
      </w:pPr>
      <w:bookmarkStart w:id="12" w:name="_Toc448291588"/>
      <w:bookmarkStart w:id="13" w:name="_Toc448292641"/>
      <w:bookmarkStart w:id="14" w:name="_Toc450967790"/>
      <w:r>
        <w:rPr>
          <w:rFonts w:ascii="Times New Roman" w:hAnsi="Times New Roman"/>
          <w:sz w:val="24"/>
          <w:u w:val="none"/>
        </w:rPr>
        <w:t>Preventative Maintenance Inspections</w:t>
      </w:r>
      <w:bookmarkEnd w:id="12"/>
      <w:bookmarkEnd w:id="13"/>
      <w:bookmarkEnd w:id="14"/>
      <w:r w:rsidR="003B52F9">
        <w:rPr>
          <w:rFonts w:ascii="Times New Roman" w:hAnsi="Times New Roman"/>
          <w:sz w:val="24"/>
          <w:u w:val="none"/>
        </w:rPr>
        <w:fldChar w:fldCharType="begin"/>
      </w:r>
      <w:r>
        <w:rPr>
          <w:rFonts w:ascii="Times New Roman" w:hAnsi="Times New Roman"/>
          <w:sz w:val="24"/>
          <w:u w:val="none"/>
        </w:rPr>
        <w:instrText>tc "3.</w:instrText>
      </w:r>
      <w:r>
        <w:rPr>
          <w:rFonts w:ascii="Times New Roman" w:hAnsi="Times New Roman"/>
          <w:sz w:val="24"/>
          <w:u w:val="none"/>
        </w:rPr>
        <w:tab/>
        <w:instrText>Annual Inspections " \l 2</w:instrText>
      </w:r>
      <w:r w:rsidR="003B52F9">
        <w:rPr>
          <w:rFonts w:ascii="Times New Roman" w:hAnsi="Times New Roman"/>
          <w:sz w:val="24"/>
          <w:u w:val="none"/>
        </w:rPr>
        <w:fldChar w:fldCharType="end"/>
      </w:r>
    </w:p>
    <w:p w:rsidR="00305180" w:rsidRDefault="00305180">
      <w:pPr>
        <w:ind w:left="720" w:hanging="720"/>
        <w:jc w:val="both"/>
      </w:pPr>
    </w:p>
    <w:p w:rsidR="00305180" w:rsidRDefault="00305180">
      <w:pPr>
        <w:jc w:val="both"/>
      </w:pPr>
      <w:r>
        <w:t>This is generally conducted along with the annual inspection. This inspection is intended to keep items in good repair. It checks weatherization; checks the condition of the smoke detectors, water heaters, furnaces, automatic thermostats and water temperatures; checks for leaks; and provides an opportunity to change furnace filters and provide other minor servicing that extends the life of the unit and its equipment.</w:t>
      </w:r>
    </w:p>
    <w:p w:rsidR="00305180" w:rsidRDefault="00305180">
      <w:pPr>
        <w:tabs>
          <w:tab w:val="left" w:pos="720"/>
        </w:tabs>
        <w:jc w:val="both"/>
      </w:pPr>
    </w:p>
    <w:p w:rsidR="00305180" w:rsidRDefault="00305180">
      <w:pPr>
        <w:pStyle w:val="Heading2"/>
        <w:jc w:val="both"/>
        <w:rPr>
          <w:rFonts w:ascii="Times New Roman" w:hAnsi="Times New Roman"/>
          <w:sz w:val="24"/>
          <w:u w:val="none"/>
        </w:rPr>
      </w:pPr>
      <w:bookmarkStart w:id="15" w:name="_Toc448291589"/>
      <w:bookmarkStart w:id="16" w:name="_Toc448292642"/>
      <w:bookmarkStart w:id="17" w:name="_Toc450967791"/>
      <w:r>
        <w:rPr>
          <w:rFonts w:ascii="Times New Roman" w:hAnsi="Times New Roman"/>
          <w:sz w:val="24"/>
          <w:u w:val="none"/>
        </w:rPr>
        <w:t>Special Inspections</w:t>
      </w:r>
      <w:bookmarkEnd w:id="15"/>
      <w:bookmarkEnd w:id="16"/>
      <w:bookmarkEnd w:id="17"/>
    </w:p>
    <w:p w:rsidR="00305180" w:rsidRDefault="00305180">
      <w:pPr>
        <w:ind w:left="480" w:hanging="480"/>
        <w:jc w:val="both"/>
        <w:rPr>
          <w:caps/>
        </w:rPr>
      </w:pPr>
    </w:p>
    <w:p w:rsidR="00305180" w:rsidRDefault="00305180">
      <w:pPr>
        <w:jc w:val="both"/>
      </w:pPr>
      <w:r>
        <w:t>A special inspection may be scheduled to enable HUD or others to inspect a sample of the housing stock maintained by the Housing Authority of Douglas County.</w:t>
      </w:r>
    </w:p>
    <w:p w:rsidR="00305180" w:rsidRDefault="00305180">
      <w:pPr>
        <w:jc w:val="both"/>
      </w:pPr>
    </w:p>
    <w:p w:rsidR="00305180" w:rsidRDefault="00305180">
      <w:pPr>
        <w:jc w:val="both"/>
      </w:pPr>
    </w:p>
    <w:p w:rsidR="00305180" w:rsidRDefault="00305180">
      <w:pPr>
        <w:pStyle w:val="Heading2"/>
        <w:jc w:val="both"/>
        <w:rPr>
          <w:rFonts w:ascii="Times New Roman" w:hAnsi="Times New Roman"/>
          <w:sz w:val="24"/>
          <w:u w:val="none"/>
        </w:rPr>
      </w:pPr>
      <w:bookmarkStart w:id="18" w:name="_Toc448291590"/>
      <w:bookmarkStart w:id="19" w:name="_Toc448292643"/>
      <w:bookmarkStart w:id="20" w:name="_Toc450967792"/>
      <w:r>
        <w:rPr>
          <w:rFonts w:ascii="Times New Roman" w:hAnsi="Times New Roman"/>
          <w:sz w:val="24"/>
          <w:u w:val="none"/>
        </w:rPr>
        <w:t>Housekeeping Inspections</w:t>
      </w:r>
      <w:bookmarkEnd w:id="18"/>
      <w:bookmarkEnd w:id="19"/>
      <w:bookmarkEnd w:id="20"/>
    </w:p>
    <w:p w:rsidR="00305180" w:rsidRDefault="00305180">
      <w:pPr>
        <w:ind w:left="480" w:hanging="480"/>
        <w:jc w:val="both"/>
        <w:rPr>
          <w:u w:val="single"/>
        </w:rPr>
      </w:pPr>
    </w:p>
    <w:p w:rsidR="00305180" w:rsidRDefault="00305180">
      <w:pPr>
        <w:jc w:val="both"/>
      </w:pPr>
      <w:r>
        <w:lastRenderedPageBreak/>
        <w:t>Generally, at the time of annual reexamination, or at other times as necessary, the Housing Authority of Douglas County will conduct a housekeeping inspection to ensure the family is maintaining the unit in a safe and sanitary condition.</w:t>
      </w:r>
    </w:p>
    <w:p w:rsidR="00305180" w:rsidRDefault="00305180">
      <w:pPr>
        <w:jc w:val="both"/>
      </w:pPr>
    </w:p>
    <w:p w:rsidR="00305180" w:rsidRDefault="00305180">
      <w:pPr>
        <w:pStyle w:val="Heading2"/>
        <w:jc w:val="both"/>
        <w:rPr>
          <w:rFonts w:ascii="Times New Roman" w:hAnsi="Times New Roman"/>
          <w:sz w:val="24"/>
          <w:u w:val="none"/>
        </w:rPr>
      </w:pPr>
      <w:bookmarkStart w:id="21" w:name="_Toc448291591"/>
      <w:bookmarkStart w:id="22" w:name="_Toc448292644"/>
      <w:bookmarkStart w:id="23" w:name="_Toc450967793"/>
      <w:r>
        <w:rPr>
          <w:rFonts w:ascii="Times New Roman" w:hAnsi="Times New Roman"/>
          <w:sz w:val="24"/>
          <w:u w:val="none"/>
        </w:rPr>
        <w:t>Notice of inspection</w:t>
      </w:r>
      <w:bookmarkEnd w:id="21"/>
      <w:bookmarkEnd w:id="22"/>
      <w:bookmarkEnd w:id="23"/>
      <w:r>
        <w:rPr>
          <w:rFonts w:ascii="Times New Roman" w:hAnsi="Times New Roman"/>
          <w:sz w:val="24"/>
          <w:u w:val="none"/>
        </w:rPr>
        <w:t xml:space="preserve"> </w:t>
      </w:r>
      <w:r w:rsidR="003B52F9">
        <w:rPr>
          <w:rFonts w:ascii="Times New Roman" w:hAnsi="Times New Roman"/>
          <w:sz w:val="24"/>
          <w:u w:val="none"/>
        </w:rPr>
        <w:fldChar w:fldCharType="begin"/>
      </w:r>
      <w:r>
        <w:rPr>
          <w:rFonts w:ascii="Times New Roman" w:hAnsi="Times New Roman"/>
          <w:sz w:val="24"/>
          <w:u w:val="none"/>
        </w:rPr>
        <w:instrText>tc "6.</w:instrText>
      </w:r>
      <w:r>
        <w:rPr>
          <w:rFonts w:ascii="Times New Roman" w:hAnsi="Times New Roman"/>
          <w:sz w:val="24"/>
          <w:u w:val="none"/>
        </w:rPr>
        <w:tab/>
        <w:instrText>Special Inspections " \l 2</w:instrText>
      </w:r>
      <w:r w:rsidR="003B52F9">
        <w:rPr>
          <w:rFonts w:ascii="Times New Roman" w:hAnsi="Times New Roman"/>
          <w:sz w:val="24"/>
          <w:u w:val="none"/>
        </w:rPr>
        <w:fldChar w:fldCharType="end"/>
      </w:r>
    </w:p>
    <w:p w:rsidR="00305180" w:rsidRDefault="00305180">
      <w:pPr>
        <w:jc w:val="both"/>
      </w:pPr>
    </w:p>
    <w:p w:rsidR="00305180" w:rsidRDefault="00305180">
      <w:pPr>
        <w:jc w:val="both"/>
      </w:pPr>
      <w:r>
        <w:t>For inspections defined as annual inspections, preventative maintenance inspections, special inspections, and housekeeping inspections the Housing Authority of Douglas County will give the tenant at least two (2) days written notice.</w:t>
      </w:r>
    </w:p>
    <w:p w:rsidR="00305180" w:rsidRDefault="00305180">
      <w:pPr>
        <w:jc w:val="both"/>
      </w:pPr>
    </w:p>
    <w:p w:rsidR="00305180" w:rsidRDefault="00305180">
      <w:pPr>
        <w:pStyle w:val="Heading2"/>
        <w:jc w:val="both"/>
        <w:rPr>
          <w:rFonts w:ascii="Times New Roman" w:hAnsi="Times New Roman"/>
          <w:sz w:val="24"/>
          <w:u w:val="none"/>
        </w:rPr>
      </w:pPr>
      <w:bookmarkStart w:id="24" w:name="_Toc448291592"/>
      <w:bookmarkStart w:id="25" w:name="_Toc448292645"/>
      <w:bookmarkStart w:id="26" w:name="_Toc450967794"/>
      <w:r>
        <w:rPr>
          <w:rFonts w:ascii="Times New Roman" w:hAnsi="Times New Roman"/>
          <w:sz w:val="24"/>
          <w:u w:val="none"/>
        </w:rPr>
        <w:t>Emergency Inspections</w:t>
      </w:r>
      <w:bookmarkEnd w:id="24"/>
      <w:bookmarkEnd w:id="25"/>
      <w:bookmarkEnd w:id="26"/>
      <w:r>
        <w:rPr>
          <w:rFonts w:ascii="Times New Roman" w:hAnsi="Times New Roman"/>
          <w:sz w:val="24"/>
          <w:u w:val="none"/>
        </w:rPr>
        <w:t xml:space="preserve"> </w:t>
      </w:r>
      <w:r w:rsidR="003B52F9">
        <w:rPr>
          <w:rFonts w:ascii="Times New Roman" w:hAnsi="Times New Roman"/>
          <w:sz w:val="24"/>
          <w:u w:val="none"/>
        </w:rPr>
        <w:fldChar w:fldCharType="begin"/>
      </w:r>
      <w:r>
        <w:rPr>
          <w:rFonts w:ascii="Times New Roman" w:hAnsi="Times New Roman"/>
          <w:sz w:val="24"/>
          <w:u w:val="none"/>
        </w:rPr>
        <w:instrText>tc "7.</w:instrText>
      </w:r>
      <w:r>
        <w:rPr>
          <w:rFonts w:ascii="Times New Roman" w:hAnsi="Times New Roman"/>
          <w:sz w:val="24"/>
          <w:u w:val="none"/>
        </w:rPr>
        <w:tab/>
        <w:instrText>Emergency Inspections " \l 2</w:instrText>
      </w:r>
      <w:r w:rsidR="003B52F9">
        <w:rPr>
          <w:rFonts w:ascii="Times New Roman" w:hAnsi="Times New Roman"/>
          <w:sz w:val="24"/>
          <w:u w:val="none"/>
        </w:rPr>
        <w:fldChar w:fldCharType="end"/>
      </w:r>
      <w:r>
        <w:rPr>
          <w:rFonts w:ascii="Times New Roman" w:hAnsi="Times New Roman"/>
          <w:sz w:val="24"/>
          <w:u w:val="none"/>
        </w:rPr>
        <w:t xml:space="preserve"> </w:t>
      </w:r>
    </w:p>
    <w:p w:rsidR="00305180" w:rsidRDefault="00305180">
      <w:pPr>
        <w:ind w:left="480" w:hanging="480"/>
        <w:jc w:val="both"/>
        <w:rPr>
          <w:b/>
          <w:caps/>
        </w:rPr>
      </w:pPr>
    </w:p>
    <w:p w:rsidR="00305180" w:rsidRDefault="00305180">
      <w:pPr>
        <w:jc w:val="both"/>
      </w:pPr>
      <w:r>
        <w:t>If any employee and/or agent of the Housing Authority of Douglas County</w:t>
      </w:r>
      <w:r>
        <w:rPr>
          <w:b/>
        </w:rPr>
        <w:t xml:space="preserve"> </w:t>
      </w:r>
      <w:proofErr w:type="gramStart"/>
      <w:r>
        <w:t>has</w:t>
      </w:r>
      <w:proofErr w:type="gramEnd"/>
      <w:r>
        <w:t xml:space="preserve"> reason to believe an emergency exists within the housing unit, the unit can be entered without notice. The person(s) that enters the unit will leave a written notice to the resident indicating the date and time the unit was entered and the reason why it was necessary to enter the unit.</w:t>
      </w:r>
    </w:p>
    <w:p w:rsidR="00305180" w:rsidRDefault="00305180">
      <w:pPr>
        <w:jc w:val="both"/>
      </w:pPr>
    </w:p>
    <w:p w:rsidR="00305180" w:rsidRDefault="00305180">
      <w:pPr>
        <w:pStyle w:val="Heading2"/>
        <w:jc w:val="both"/>
        <w:rPr>
          <w:rFonts w:ascii="Times New Roman" w:hAnsi="Times New Roman"/>
          <w:sz w:val="24"/>
          <w:u w:val="none"/>
        </w:rPr>
      </w:pPr>
      <w:bookmarkStart w:id="27" w:name="_Toc448291594"/>
      <w:bookmarkStart w:id="28" w:name="_Toc448292647"/>
      <w:bookmarkStart w:id="29" w:name="_Toc450967796"/>
      <w:r>
        <w:rPr>
          <w:rFonts w:ascii="Times New Roman" w:hAnsi="Times New Roman"/>
          <w:sz w:val="24"/>
          <w:u w:val="none"/>
        </w:rPr>
        <w:t>Move-out Inspections</w:t>
      </w:r>
      <w:bookmarkEnd w:id="27"/>
      <w:bookmarkEnd w:id="28"/>
      <w:bookmarkEnd w:id="29"/>
    </w:p>
    <w:p w:rsidR="00305180" w:rsidRDefault="00305180">
      <w:pPr>
        <w:jc w:val="both"/>
      </w:pPr>
    </w:p>
    <w:p w:rsidR="00305180" w:rsidRDefault="00305180">
      <w:pPr>
        <w:jc w:val="both"/>
      </w:pPr>
      <w:r>
        <w:t>The Housing Authority of Douglas County conducts the move-out inspection after the tenant vacates to assess the condition of the unit and determine responsibility for any needed repairs. When possible, the tenant is notified of the inspection and is encouraged to be present. This inspection becomes the basis for any claims that may be assessed against the security deposit.</w:t>
      </w:r>
    </w:p>
    <w:p w:rsidR="00305180" w:rsidRDefault="00305180" w:rsidP="00250326">
      <w:pPr>
        <w:autoSpaceDE w:val="0"/>
        <w:autoSpaceDN w:val="0"/>
        <w:adjustRightInd w:val="0"/>
        <w:rPr>
          <w:b/>
          <w:color w:val="000000"/>
        </w:rPr>
      </w:pPr>
    </w:p>
    <w:p w:rsidR="00305180" w:rsidRDefault="00305180">
      <w:pPr>
        <w:autoSpaceDE w:val="0"/>
        <w:autoSpaceDN w:val="0"/>
        <w:adjustRightInd w:val="0"/>
        <w:ind w:left="2880" w:firstLine="720"/>
        <w:rPr>
          <w:b/>
          <w:color w:val="000000"/>
        </w:rPr>
      </w:pPr>
    </w:p>
    <w:p w:rsidR="00305180" w:rsidRDefault="00305180">
      <w:pPr>
        <w:autoSpaceDE w:val="0"/>
        <w:autoSpaceDN w:val="0"/>
        <w:adjustRightInd w:val="0"/>
        <w:ind w:left="2880" w:firstLine="720"/>
        <w:rPr>
          <w:b/>
          <w:color w:val="000000"/>
        </w:rPr>
      </w:pPr>
      <w:r>
        <w:rPr>
          <w:b/>
          <w:color w:val="000000"/>
        </w:rPr>
        <w:t>VIII. Pet Policy</w:t>
      </w:r>
    </w:p>
    <w:p w:rsidR="00305180" w:rsidRDefault="00305180">
      <w:pPr>
        <w:autoSpaceDE w:val="0"/>
        <w:autoSpaceDN w:val="0"/>
        <w:adjustRightInd w:val="0"/>
        <w:jc w:val="both"/>
        <w:rPr>
          <w:b/>
          <w:color w:val="000000"/>
        </w:rPr>
      </w:pPr>
    </w:p>
    <w:p w:rsidR="00305180" w:rsidRDefault="00305180">
      <w:pPr>
        <w:jc w:val="both"/>
      </w:pPr>
      <w:r>
        <w:t>HADCO welcomes pets under the following stipulations;</w:t>
      </w:r>
    </w:p>
    <w:p w:rsidR="00305180" w:rsidRDefault="00305180">
      <w:pPr>
        <w:jc w:val="both"/>
      </w:pPr>
    </w:p>
    <w:p w:rsidR="00305180" w:rsidRDefault="00305180">
      <w:pPr>
        <w:jc w:val="both"/>
        <w:rPr>
          <w:b/>
          <w:u w:val="single"/>
        </w:rPr>
      </w:pPr>
      <w:r>
        <w:rPr>
          <w:b/>
          <w:u w:val="single"/>
        </w:rPr>
        <w:t>I. Pets are limited to ONE of the following:</w:t>
      </w:r>
    </w:p>
    <w:p w:rsidR="00305180" w:rsidRDefault="00305180">
      <w:pPr>
        <w:ind w:left="720"/>
        <w:jc w:val="both"/>
      </w:pPr>
      <w:proofErr w:type="gramStart"/>
      <w:r>
        <w:t>One adult dog.</w:t>
      </w:r>
      <w:proofErr w:type="gramEnd"/>
      <w:r>
        <w:t xml:space="preserve">  The dog cannot exceed 12 inches in height (at the shoulders) nor exceed 25 pounds in weight, or </w:t>
      </w:r>
    </w:p>
    <w:p w:rsidR="00305180" w:rsidRDefault="00305180">
      <w:pPr>
        <w:ind w:firstLine="720"/>
        <w:jc w:val="both"/>
      </w:pPr>
      <w:proofErr w:type="gramStart"/>
      <w:r>
        <w:t>One Cat.</w:t>
      </w:r>
      <w:proofErr w:type="gramEnd"/>
    </w:p>
    <w:p w:rsidR="00305180" w:rsidRDefault="00305180">
      <w:pPr>
        <w:ind w:left="900"/>
        <w:jc w:val="both"/>
      </w:pPr>
    </w:p>
    <w:p w:rsidR="00305180" w:rsidRDefault="00305180">
      <w:pPr>
        <w:jc w:val="both"/>
        <w:rPr>
          <w:b/>
          <w:u w:val="single"/>
        </w:rPr>
      </w:pPr>
      <w:r>
        <w:rPr>
          <w:b/>
          <w:u w:val="single"/>
        </w:rPr>
        <w:t>II. The following Pets are permitted in addition to one dog or one cat:</w:t>
      </w:r>
    </w:p>
    <w:p w:rsidR="00305180" w:rsidRDefault="00305180">
      <w:pPr>
        <w:ind w:left="180" w:firstLine="720"/>
        <w:jc w:val="both"/>
      </w:pPr>
      <w:proofErr w:type="gramStart"/>
      <w:r>
        <w:t>One domestic rabbit.</w:t>
      </w:r>
      <w:proofErr w:type="gramEnd"/>
    </w:p>
    <w:p w:rsidR="00305180" w:rsidRDefault="00305180">
      <w:pPr>
        <w:ind w:left="180" w:firstLine="720"/>
        <w:jc w:val="both"/>
      </w:pPr>
      <w:proofErr w:type="gramStart"/>
      <w:r>
        <w:t>One fish aquarium, not to exceed 30 gallons.</w:t>
      </w:r>
      <w:proofErr w:type="gramEnd"/>
    </w:p>
    <w:p w:rsidR="00305180" w:rsidRDefault="00305180">
      <w:pPr>
        <w:ind w:left="180" w:firstLine="720"/>
        <w:jc w:val="both"/>
      </w:pPr>
      <w:r>
        <w:t>Two small birds, e.g. canary, parakeet, finch, etc. (no birds of prey are permitted)</w:t>
      </w:r>
    </w:p>
    <w:p w:rsidR="00305180" w:rsidRDefault="00305180">
      <w:pPr>
        <w:ind w:left="180" w:firstLine="720"/>
        <w:jc w:val="both"/>
      </w:pPr>
      <w:proofErr w:type="gramStart"/>
      <w:r>
        <w:t>Two gerbils or hamsters.</w:t>
      </w:r>
      <w:proofErr w:type="gramEnd"/>
    </w:p>
    <w:p w:rsidR="00305180" w:rsidRDefault="00305180">
      <w:pPr>
        <w:ind w:left="180" w:firstLine="720"/>
        <w:jc w:val="both"/>
      </w:pPr>
      <w:r>
        <w:t>Other animals not listed may be approved at the discretion of HADCO.</w:t>
      </w:r>
    </w:p>
    <w:p w:rsidR="00305180" w:rsidRDefault="00305180">
      <w:pPr>
        <w:jc w:val="both"/>
      </w:pPr>
    </w:p>
    <w:p w:rsidR="00305180" w:rsidRDefault="00305180">
      <w:pPr>
        <w:jc w:val="both"/>
        <w:rPr>
          <w:b/>
          <w:u w:val="single"/>
        </w:rPr>
      </w:pPr>
      <w:r>
        <w:rPr>
          <w:b/>
          <w:u w:val="single"/>
        </w:rPr>
        <w:t>II. The following pets are not permitted:</w:t>
      </w:r>
    </w:p>
    <w:p w:rsidR="00305180" w:rsidRDefault="00305180">
      <w:pPr>
        <w:numPr>
          <w:ilvl w:val="0"/>
          <w:numId w:val="32"/>
        </w:numPr>
        <w:jc w:val="both"/>
      </w:pPr>
      <w:r>
        <w:t>Birds of prey</w:t>
      </w:r>
    </w:p>
    <w:p w:rsidR="00305180" w:rsidRDefault="00305180">
      <w:pPr>
        <w:numPr>
          <w:ilvl w:val="0"/>
          <w:numId w:val="32"/>
        </w:numPr>
        <w:jc w:val="both"/>
      </w:pPr>
      <w:r>
        <w:t>Exotic pets such as snakes, or any poisonous reptiles or animal.</w:t>
      </w:r>
    </w:p>
    <w:p w:rsidR="00305180" w:rsidRDefault="00305180">
      <w:pPr>
        <w:numPr>
          <w:ilvl w:val="0"/>
          <w:numId w:val="32"/>
        </w:numPr>
        <w:jc w:val="both"/>
      </w:pPr>
      <w:r>
        <w:t>No rats or mice.</w:t>
      </w:r>
    </w:p>
    <w:p w:rsidR="00305180" w:rsidRDefault="00305180">
      <w:pPr>
        <w:numPr>
          <w:ilvl w:val="0"/>
          <w:numId w:val="32"/>
        </w:numPr>
        <w:jc w:val="both"/>
      </w:pPr>
      <w:r>
        <w:t>No wild animals such as skunks, raccoons, etc.</w:t>
      </w:r>
    </w:p>
    <w:p w:rsidR="00305180" w:rsidRDefault="00305180">
      <w:pPr>
        <w:jc w:val="both"/>
      </w:pPr>
      <w:r>
        <w:t xml:space="preserve">          </w:t>
      </w:r>
    </w:p>
    <w:p w:rsidR="00305180" w:rsidRDefault="00305180">
      <w:pPr>
        <w:jc w:val="both"/>
        <w:rPr>
          <w:b/>
          <w:u w:val="single"/>
        </w:rPr>
      </w:pPr>
      <w:r>
        <w:rPr>
          <w:b/>
          <w:u w:val="single"/>
        </w:rPr>
        <w:t>III. Companion and Service Animals</w:t>
      </w:r>
    </w:p>
    <w:p w:rsidR="00305180" w:rsidRDefault="00305180">
      <w:pPr>
        <w:jc w:val="both"/>
      </w:pPr>
      <w:r>
        <w:t xml:space="preserve">            HADCO permits Companion and Service animals for person(s) with disabilities.</w:t>
      </w:r>
    </w:p>
    <w:p w:rsidR="00305180" w:rsidRDefault="00305180">
      <w:pPr>
        <w:jc w:val="both"/>
      </w:pPr>
      <w:r>
        <w:t xml:space="preserve">            Verification of disability and the need for a Companion or Service animal will be  </w:t>
      </w:r>
    </w:p>
    <w:p w:rsidR="00305180" w:rsidRDefault="00305180">
      <w:pPr>
        <w:jc w:val="both"/>
      </w:pPr>
      <w:r>
        <w:lastRenderedPageBreak/>
        <w:t xml:space="preserve">            </w:t>
      </w:r>
      <w:proofErr w:type="gramStart"/>
      <w:r>
        <w:t>required</w:t>
      </w:r>
      <w:proofErr w:type="gramEnd"/>
      <w:r>
        <w:t>. Companion and service animals are not considered a pet, if your</w:t>
      </w:r>
    </w:p>
    <w:p w:rsidR="00305180" w:rsidRDefault="00305180">
      <w:pPr>
        <w:jc w:val="both"/>
      </w:pPr>
      <w:r>
        <w:t xml:space="preserve"> </w:t>
      </w:r>
      <w:r>
        <w:tab/>
        <w:t xml:space="preserve"> </w:t>
      </w:r>
      <w:proofErr w:type="gramStart"/>
      <w:r>
        <w:t>family</w:t>
      </w:r>
      <w:proofErr w:type="gramEnd"/>
      <w:r>
        <w:t xml:space="preserve"> qualifies for companion/service animal you would be allowed to have a pet as defined </w:t>
      </w:r>
    </w:p>
    <w:p w:rsidR="00305180" w:rsidRDefault="00305180">
      <w:pPr>
        <w:ind w:firstLine="720"/>
        <w:jc w:val="both"/>
      </w:pPr>
      <w:r>
        <w:t xml:space="preserve"> </w:t>
      </w:r>
      <w:proofErr w:type="gramStart"/>
      <w:r>
        <w:t>above</w:t>
      </w:r>
      <w:proofErr w:type="gramEnd"/>
      <w:r>
        <w:t xml:space="preserve">. </w:t>
      </w:r>
    </w:p>
    <w:p w:rsidR="00305180" w:rsidRDefault="00305180">
      <w:pPr>
        <w:jc w:val="both"/>
        <w:rPr>
          <w:b/>
        </w:rPr>
      </w:pPr>
      <w:r>
        <w:rPr>
          <w:b/>
        </w:rPr>
        <w:t>See also the reasonable accommodation policy.</w:t>
      </w:r>
    </w:p>
    <w:p w:rsidR="00305180" w:rsidRDefault="00305180">
      <w:pPr>
        <w:jc w:val="both"/>
      </w:pPr>
    </w:p>
    <w:p w:rsidR="00305180" w:rsidRDefault="00305180">
      <w:pPr>
        <w:jc w:val="both"/>
      </w:pPr>
      <w:r>
        <w:rPr>
          <w:b/>
        </w:rPr>
        <w:t>IV.</w:t>
      </w:r>
      <w:r>
        <w:t xml:space="preserve"> </w:t>
      </w:r>
      <w:r>
        <w:rPr>
          <w:b/>
          <w:u w:val="single"/>
        </w:rPr>
        <w:t>Pre-conditions:</w:t>
      </w:r>
      <w:r>
        <w:t xml:space="preserve"> (</w:t>
      </w:r>
      <w:r>
        <w:rPr>
          <w:i/>
        </w:rPr>
        <w:t xml:space="preserve">must be completed </w:t>
      </w:r>
      <w:r>
        <w:rPr>
          <w:i/>
          <w:u w:val="single"/>
        </w:rPr>
        <w:t>BEFORE</w:t>
      </w:r>
      <w:r>
        <w:rPr>
          <w:i/>
        </w:rPr>
        <w:t xml:space="preserve"> any pet is brought on the premises)</w:t>
      </w:r>
    </w:p>
    <w:p w:rsidR="00305180" w:rsidRDefault="00305180">
      <w:pPr>
        <w:jc w:val="both"/>
      </w:pPr>
    </w:p>
    <w:p w:rsidR="00305180" w:rsidRDefault="00305180">
      <w:pPr>
        <w:ind w:left="720"/>
        <w:jc w:val="both"/>
      </w:pPr>
      <w:r>
        <w:t>A. Resident shall:</w:t>
      </w:r>
    </w:p>
    <w:p w:rsidR="00305180" w:rsidRDefault="00305180">
      <w:pPr>
        <w:jc w:val="both"/>
      </w:pPr>
      <w:r>
        <w:tab/>
      </w:r>
      <w:r>
        <w:tab/>
      </w:r>
    </w:p>
    <w:p w:rsidR="00305180" w:rsidRDefault="00305180">
      <w:pPr>
        <w:numPr>
          <w:ilvl w:val="0"/>
          <w:numId w:val="21"/>
        </w:numPr>
        <w:jc w:val="both"/>
      </w:pPr>
      <w:r>
        <w:t>Present proof from a veterinarian or similar responsible person that the dog or cat has been neutered and vaccinated. If pet is less than six months of age the tenant must sign a statement stating they agree to have the pet spayed/neutered and turn in verification of proper vaccinations and boosters. FVRCP-LEU and rabies for cats, and DHLPPP-C and rabies for dogs.</w:t>
      </w:r>
    </w:p>
    <w:p w:rsidR="00305180" w:rsidRDefault="00305180">
      <w:pPr>
        <w:numPr>
          <w:ilvl w:val="0"/>
          <w:numId w:val="21"/>
        </w:numPr>
        <w:jc w:val="both"/>
      </w:pPr>
      <w:r>
        <w:t>Show proof of current license (when applicable) within six months of age.</w:t>
      </w:r>
    </w:p>
    <w:p w:rsidR="00305180" w:rsidRDefault="00305180">
      <w:pPr>
        <w:numPr>
          <w:ilvl w:val="0"/>
          <w:numId w:val="21"/>
        </w:numPr>
        <w:jc w:val="both"/>
      </w:pPr>
      <w:r>
        <w:t>Designate at least one person preferably two people willing to accept responsibility for the pet in an emergency.</w:t>
      </w:r>
    </w:p>
    <w:p w:rsidR="00305180" w:rsidRDefault="00305180">
      <w:pPr>
        <w:numPr>
          <w:ilvl w:val="0"/>
          <w:numId w:val="21"/>
        </w:numPr>
        <w:jc w:val="both"/>
      </w:pPr>
      <w:r>
        <w:t>Sign a pet agreement with the Housing Authority.</w:t>
      </w:r>
    </w:p>
    <w:p w:rsidR="00305180" w:rsidRDefault="00305180">
      <w:pPr>
        <w:numPr>
          <w:ilvl w:val="0"/>
          <w:numId w:val="21"/>
        </w:numPr>
        <w:jc w:val="both"/>
      </w:pPr>
      <w:r>
        <w:t xml:space="preserve">Obtain </w:t>
      </w:r>
      <w:proofErr w:type="gramStart"/>
      <w:r>
        <w:t>“ Authorization</w:t>
      </w:r>
      <w:proofErr w:type="gramEnd"/>
      <w:r>
        <w:t xml:space="preserve"> for Pet Ownership” Approved by the Public Housing Manager.</w:t>
      </w:r>
    </w:p>
    <w:p w:rsidR="00305180" w:rsidRDefault="00305180">
      <w:pPr>
        <w:jc w:val="both"/>
      </w:pPr>
    </w:p>
    <w:p w:rsidR="00305180" w:rsidRDefault="00305180">
      <w:pPr>
        <w:jc w:val="both"/>
        <w:rPr>
          <w:b/>
          <w:u w:val="single"/>
        </w:rPr>
      </w:pPr>
      <w:r>
        <w:t xml:space="preserve">V. </w:t>
      </w:r>
      <w:r>
        <w:rPr>
          <w:b/>
          <w:u w:val="single"/>
        </w:rPr>
        <w:t>Occupancy Requirements:</w:t>
      </w:r>
    </w:p>
    <w:p w:rsidR="00305180" w:rsidRDefault="00305180">
      <w:pPr>
        <w:jc w:val="both"/>
        <w:rPr>
          <w:b/>
          <w:u w:val="single"/>
        </w:rPr>
      </w:pPr>
    </w:p>
    <w:p w:rsidR="00305180" w:rsidRDefault="00305180">
      <w:pPr>
        <w:numPr>
          <w:ilvl w:val="0"/>
          <w:numId w:val="22"/>
        </w:numPr>
        <w:jc w:val="both"/>
      </w:pPr>
      <w:r>
        <w:t>No vicious or intimidating animals are allowed.</w:t>
      </w:r>
    </w:p>
    <w:p w:rsidR="00305180" w:rsidRDefault="00305180">
      <w:pPr>
        <w:numPr>
          <w:ilvl w:val="0"/>
          <w:numId w:val="22"/>
        </w:numPr>
        <w:jc w:val="both"/>
      </w:pPr>
      <w:r>
        <w:t>All pets will remain inside the residence, be on a leash or in a carrier and under the direct control of the owner.</w:t>
      </w:r>
    </w:p>
    <w:p w:rsidR="00305180" w:rsidRDefault="00305180">
      <w:pPr>
        <w:numPr>
          <w:ilvl w:val="0"/>
          <w:numId w:val="22"/>
        </w:numPr>
        <w:jc w:val="both"/>
      </w:pPr>
      <w:r>
        <w:t>The pet will not use the common area except to pass to and from the owners unit.</w:t>
      </w:r>
    </w:p>
    <w:p w:rsidR="00305180" w:rsidRDefault="00305180">
      <w:pPr>
        <w:numPr>
          <w:ilvl w:val="0"/>
          <w:numId w:val="22"/>
        </w:numPr>
        <w:jc w:val="both"/>
      </w:pPr>
      <w:r>
        <w:t xml:space="preserve">The owner must control animal </w:t>
      </w:r>
      <w:proofErr w:type="gramStart"/>
      <w:r>
        <w:t>waste,</w:t>
      </w:r>
      <w:proofErr w:type="gramEnd"/>
      <w:r>
        <w:t xml:space="preserve"> the owner must remove animal waste from their yard and common areas immediately.</w:t>
      </w:r>
    </w:p>
    <w:p w:rsidR="00305180" w:rsidRDefault="00305180">
      <w:pPr>
        <w:numPr>
          <w:ilvl w:val="0"/>
          <w:numId w:val="22"/>
        </w:numPr>
        <w:jc w:val="both"/>
      </w:pPr>
      <w:r>
        <w:t>Pets shall not interfere with the peaceful enjoyment of other residents or neighbors by barking, howling, biting, scratching, meowing, running loose, or other activities making them a nuisance animal.</w:t>
      </w:r>
    </w:p>
    <w:p w:rsidR="00305180" w:rsidRDefault="00305180">
      <w:pPr>
        <w:numPr>
          <w:ilvl w:val="0"/>
          <w:numId w:val="22"/>
        </w:numPr>
        <w:jc w:val="both"/>
      </w:pPr>
      <w:r>
        <w:t>The tenant shall inform the Housing Authority when requesting a work order that there is a dog or cat in the unit.</w:t>
      </w:r>
    </w:p>
    <w:p w:rsidR="00305180" w:rsidRDefault="00305180">
      <w:pPr>
        <w:numPr>
          <w:ilvl w:val="0"/>
          <w:numId w:val="22"/>
        </w:numPr>
        <w:jc w:val="both"/>
      </w:pPr>
      <w:r>
        <w:t>No visiting pe</w:t>
      </w:r>
      <w:r w:rsidR="00250326">
        <w:t xml:space="preserve">ts will be allowed at any time, with the exception of pets accompanying non local visitors. The visiting pet(s) will be required to receive prior approval and comply with the current pet policy. Assistance animals please refer to </w:t>
      </w:r>
      <w:r w:rsidR="00250326" w:rsidRPr="00250326">
        <w:t>the</w:t>
      </w:r>
      <w:r>
        <w:rPr>
          <w:b/>
        </w:rPr>
        <w:t xml:space="preserve"> Reasonable Accommodation Policy</w:t>
      </w:r>
      <w:r w:rsidR="00250326">
        <w:rPr>
          <w:b/>
        </w:rPr>
        <w:t>.</w:t>
      </w:r>
    </w:p>
    <w:p w:rsidR="00305180" w:rsidRDefault="00305180">
      <w:pPr>
        <w:numPr>
          <w:ilvl w:val="0"/>
          <w:numId w:val="22"/>
        </w:numPr>
        <w:jc w:val="both"/>
      </w:pPr>
      <w:r>
        <w:t>Pet food must be kept in a sealed container to avoid infestation.</w:t>
      </w:r>
    </w:p>
    <w:p w:rsidR="00305180" w:rsidRDefault="00305180">
      <w:pPr>
        <w:jc w:val="both"/>
      </w:pPr>
    </w:p>
    <w:p w:rsidR="00305180" w:rsidRDefault="00305180">
      <w:pPr>
        <w:jc w:val="both"/>
        <w:rPr>
          <w:b/>
          <w:u w:val="single"/>
        </w:rPr>
      </w:pPr>
      <w:r>
        <w:t xml:space="preserve">VI. </w:t>
      </w:r>
      <w:r>
        <w:rPr>
          <w:b/>
          <w:u w:val="single"/>
        </w:rPr>
        <w:t>Resident agrees that:</w:t>
      </w:r>
    </w:p>
    <w:p w:rsidR="00305180" w:rsidRDefault="00305180">
      <w:pPr>
        <w:jc w:val="both"/>
        <w:rPr>
          <w:b/>
          <w:u w:val="single"/>
        </w:rPr>
      </w:pPr>
    </w:p>
    <w:p w:rsidR="00305180" w:rsidRDefault="00305180">
      <w:pPr>
        <w:numPr>
          <w:ilvl w:val="0"/>
          <w:numId w:val="23"/>
        </w:numPr>
        <w:jc w:val="both"/>
      </w:pPr>
      <w:r>
        <w:t>Damages caused by their pet will be corrected by our maintenance staff and will be the sole financial responsibility of the tenant.</w:t>
      </w:r>
    </w:p>
    <w:p w:rsidR="00305180" w:rsidRDefault="00305180">
      <w:pPr>
        <w:numPr>
          <w:ilvl w:val="0"/>
          <w:numId w:val="23"/>
        </w:numPr>
        <w:jc w:val="both"/>
      </w:pPr>
      <w:r>
        <w:t>Adequate sanitary control and precaution will be taken to eliminate pet odors and associated problems, fleas and other parasites, etc.</w:t>
      </w:r>
    </w:p>
    <w:p w:rsidR="00305180" w:rsidRDefault="00305180">
      <w:pPr>
        <w:numPr>
          <w:ilvl w:val="0"/>
          <w:numId w:val="23"/>
        </w:numPr>
        <w:jc w:val="both"/>
      </w:pPr>
      <w:r>
        <w:t>The Public Housing Manager or their designee determines when a pet is a nuisance or threat to the safety or security of person or property, and they may request the removal of the pet. A notice to terminate will be issued.</w:t>
      </w:r>
    </w:p>
    <w:p w:rsidR="00305180" w:rsidRDefault="00305180">
      <w:pPr>
        <w:numPr>
          <w:ilvl w:val="0"/>
          <w:numId w:val="23"/>
        </w:numPr>
        <w:jc w:val="both"/>
      </w:pPr>
      <w:r>
        <w:t xml:space="preserve">A representative of </w:t>
      </w:r>
      <w:proofErr w:type="gramStart"/>
      <w:r>
        <w:t>the  Douglas</w:t>
      </w:r>
      <w:proofErr w:type="gramEnd"/>
      <w:r>
        <w:t xml:space="preserve"> County Animal Control or the Housing Authority may enter a unit to transfer any animal, which is left un-attended if the animal is showing signs of distress and </w:t>
      </w:r>
      <w:r>
        <w:lastRenderedPageBreak/>
        <w:t>HADCO is unable to contact the resident or residents emergency contact. The Housing Authority accepts no responsibility for costs or care for pets that have been removed.</w:t>
      </w:r>
    </w:p>
    <w:p w:rsidR="00305180" w:rsidRDefault="00305180">
      <w:pPr>
        <w:numPr>
          <w:ilvl w:val="0"/>
          <w:numId w:val="23"/>
        </w:numPr>
        <w:jc w:val="both"/>
      </w:pPr>
      <w:r>
        <w:t xml:space="preserve">If any provisions of the above Pet Policy are violated, the pet policy may be revoked and the resident may be: </w:t>
      </w:r>
    </w:p>
    <w:p w:rsidR="00305180" w:rsidRDefault="00305180">
      <w:pPr>
        <w:jc w:val="both"/>
      </w:pPr>
    </w:p>
    <w:p w:rsidR="00305180" w:rsidRDefault="00305180">
      <w:pPr>
        <w:numPr>
          <w:ilvl w:val="1"/>
          <w:numId w:val="23"/>
        </w:numPr>
        <w:jc w:val="both"/>
      </w:pPr>
      <w:r>
        <w:t>Required to remove the pet within Two (2) weeks.</w:t>
      </w:r>
    </w:p>
    <w:p w:rsidR="00305180" w:rsidRDefault="00305180">
      <w:pPr>
        <w:numPr>
          <w:ilvl w:val="1"/>
          <w:numId w:val="23"/>
        </w:numPr>
        <w:jc w:val="both"/>
      </w:pPr>
      <w:r>
        <w:t xml:space="preserve">Subject to eviction per Resident Lease, Section 21, </w:t>
      </w:r>
      <w:proofErr w:type="gramStart"/>
      <w:r>
        <w:t>“</w:t>
      </w:r>
      <w:proofErr w:type="gramEnd"/>
      <w:r>
        <w:t>Lease Termination”.</w:t>
      </w:r>
    </w:p>
    <w:p w:rsidR="00305180" w:rsidRDefault="00305180">
      <w:pPr>
        <w:jc w:val="both"/>
      </w:pPr>
    </w:p>
    <w:p w:rsidR="00305180" w:rsidRDefault="00305180">
      <w:pPr>
        <w:jc w:val="both"/>
      </w:pPr>
      <w:proofErr w:type="gramStart"/>
      <w:r>
        <w:t>“ Nothing</w:t>
      </w:r>
      <w:proofErr w:type="gramEnd"/>
      <w:r>
        <w:t xml:space="preserve"> in this pet rule prohibits the Housing Authority or appropriate community authority from requiring the removal of any animal from a project if the pet’s conduct or condition is duly determined to constitute under the provisions of state or local law, a nuisance or a threat to the health or safety of other occupants of the project or other persons in the community where the project is located, or if the species of animal in question is prohibited under state or local law.”</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t>HADCO will not apply or enforce the pet policy against animals required for reasonable accommodation to assist, support, or provide service to persons with disabilities. State and occupancy requirements do still apply such as rabies and licensing verification. For more information regarding companion/service animals refer to the Reasonable Accommodation Policy IVX. Attachments</w:t>
      </w:r>
    </w:p>
    <w:p w:rsidR="00305180" w:rsidRDefault="00305180">
      <w:pPr>
        <w:pStyle w:val="BodyText"/>
      </w:pPr>
    </w:p>
    <w:p w:rsidR="00305180" w:rsidRDefault="00305180"/>
    <w:p w:rsidR="00305180" w:rsidRDefault="00305180"/>
    <w:p w:rsidR="00305180" w:rsidRDefault="00305180">
      <w:pPr>
        <w:pStyle w:val="Heading5"/>
        <w:rPr>
          <w:sz w:val="24"/>
        </w:rPr>
      </w:pPr>
      <w:r>
        <w:rPr>
          <w:sz w:val="24"/>
        </w:rPr>
        <w:t>IX. Interim Rent Adjustments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 xml:space="preserve">Adjusting Rent </w:t>
      </w:r>
      <w:proofErr w:type="gramStart"/>
      <w:r>
        <w:rPr>
          <w:b/>
          <w:color w:val="000000"/>
        </w:rPr>
        <w:t>Between</w:t>
      </w:r>
      <w:proofErr w:type="gramEnd"/>
      <w:r>
        <w:rPr>
          <w:b/>
          <w:color w:val="000000"/>
        </w:rPr>
        <w:t xml:space="preserve"> Regular Reexaminations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 xml:space="preserve">Residents are required to report all changes in family composition or status </w:t>
      </w:r>
      <w:r>
        <w:rPr>
          <w:color w:val="000000"/>
        </w:rPr>
        <w:t xml:space="preserve">to the housing manager within 10 calendar days of the occurrence. Failure to report within the 10 calendar days may result in a retroactive rent increase, but not a retroactive credit or rent reduction. In order to qualify for rent reductions, residents must report income decreases promptly and by the 20 of the month. </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HADCO will process interim changes in rent in accordance with the chart below:</w:t>
      </w:r>
    </w:p>
    <w:p w:rsidR="00305180" w:rsidRDefault="00305180">
      <w:pPr>
        <w:autoSpaceDE w:val="0"/>
        <w:autoSpaceDN w:val="0"/>
        <w:adjustRightInd w:val="0"/>
        <w:jc w:val="both"/>
        <w:rPr>
          <w:b/>
          <w:color w:val="000000"/>
        </w:rPr>
      </w:pPr>
    </w:p>
    <w:p w:rsidR="00305180" w:rsidRDefault="00305180">
      <w:pPr>
        <w:autoSpaceDE w:val="0"/>
        <w:autoSpaceDN w:val="0"/>
        <w:adjustRightInd w:val="0"/>
        <w:ind w:left="576"/>
        <w:jc w:val="both"/>
        <w:rPr>
          <w:color w:val="000000"/>
        </w:rPr>
      </w:pPr>
      <w:r>
        <w:rPr>
          <w:color w:val="000000"/>
        </w:rPr>
        <w:t>(a) Decrease in income for any reason, except for decrease that lasts less than 30 days. Increase in income following HADCO granting of interim rent decrease.</w:t>
      </w:r>
    </w:p>
    <w:p w:rsidR="00305180" w:rsidRDefault="00305180">
      <w:pPr>
        <w:autoSpaceDE w:val="0"/>
        <w:autoSpaceDN w:val="0"/>
        <w:adjustRightInd w:val="0"/>
        <w:ind w:left="576"/>
        <w:jc w:val="both"/>
        <w:rPr>
          <w:color w:val="000000"/>
        </w:rPr>
      </w:pPr>
    </w:p>
    <w:p w:rsidR="00305180" w:rsidRDefault="00305180">
      <w:pPr>
        <w:pStyle w:val="BodyTextIndent"/>
        <w:ind w:left="576"/>
        <w:rPr>
          <w:sz w:val="24"/>
        </w:rPr>
      </w:pPr>
      <w:r>
        <w:rPr>
          <w:sz w:val="24"/>
        </w:rPr>
        <w:t>• HADCO will process an interim reduction in rent if the income decrease will last more than 30 days. HADCO will process an interim increase for income increases that follow interim rent reductions.</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(b) Increase in earned income from the employment of a current household member.</w:t>
      </w:r>
    </w:p>
    <w:p w:rsidR="00305180" w:rsidRDefault="00305180">
      <w:pPr>
        <w:pStyle w:val="BodyTextIndent"/>
        <w:ind w:left="576"/>
        <w:rPr>
          <w:sz w:val="24"/>
        </w:rPr>
      </w:pPr>
      <w:r>
        <w:rPr>
          <w:sz w:val="24"/>
        </w:rPr>
        <w:t>• HADCO will perform Interim if increase is $200 per month or greater.</w:t>
      </w:r>
    </w:p>
    <w:p w:rsidR="00305180" w:rsidRDefault="00305180">
      <w:pPr>
        <w:autoSpaceDE w:val="0"/>
        <w:autoSpaceDN w:val="0"/>
        <w:adjustRightInd w:val="0"/>
        <w:ind w:left="576"/>
        <w:jc w:val="both"/>
        <w:rPr>
          <w:color w:val="000000"/>
        </w:rPr>
      </w:pPr>
    </w:p>
    <w:p w:rsidR="00305180" w:rsidRDefault="00305180">
      <w:pPr>
        <w:pStyle w:val="BodyText2"/>
        <w:ind w:left="576"/>
        <w:rPr>
          <w:sz w:val="24"/>
        </w:rPr>
      </w:pPr>
      <w:r>
        <w:rPr>
          <w:sz w:val="24"/>
        </w:rPr>
        <w:t>(c) Increase in unearned income (e.g. COLA adjustment for social security).</w:t>
      </w:r>
    </w:p>
    <w:p w:rsidR="00305180" w:rsidRDefault="00305180">
      <w:pPr>
        <w:pStyle w:val="BodyTextIndent"/>
        <w:ind w:left="576"/>
        <w:rPr>
          <w:sz w:val="24"/>
        </w:rPr>
      </w:pPr>
      <w:r>
        <w:rPr>
          <w:sz w:val="24"/>
        </w:rPr>
        <w:t>• HADCO will perform Interim if increase is $200 per month or greater.</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(d) Increase in income because a person with income (from any source) joins the household.</w:t>
      </w:r>
    </w:p>
    <w:p w:rsidR="00305180" w:rsidRDefault="00305180">
      <w:pPr>
        <w:autoSpaceDE w:val="0"/>
        <w:autoSpaceDN w:val="0"/>
        <w:adjustRightInd w:val="0"/>
        <w:ind w:left="576"/>
        <w:jc w:val="both"/>
        <w:rPr>
          <w:color w:val="000000"/>
        </w:rPr>
      </w:pPr>
      <w:r>
        <w:rPr>
          <w:color w:val="000000"/>
        </w:rPr>
        <w:t xml:space="preserve">• HADCO will </w:t>
      </w:r>
      <w:r>
        <w:t>perform Interim if increase is $200 per month or greater.</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xml:space="preserve">(e) HADCO will process an interim increase in rent if the resident has misrepresented or failed to report facts upon which rent is based, so the rent the Resident is paying is less than it should have been. HADCO </w:t>
      </w:r>
      <w:r>
        <w:rPr>
          <w:color w:val="000000"/>
        </w:rPr>
        <w:lastRenderedPageBreak/>
        <w:t>will apply any increase in rent retroactive to the month following the month in which the misrepresentation occurred.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Complete verification of the circumstances applicable to rent adjustments must be documented and approved by the Public Housing Manager or his/her designee.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will process interim adjustments in rent as follows:</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(a) When a decrease in income is reported, and the Authority receives confirmation that the decrease will last less than 30 days, an interim adjustment will not be processed.</w:t>
      </w:r>
    </w:p>
    <w:p w:rsidR="00305180" w:rsidRDefault="00305180">
      <w:pPr>
        <w:pStyle w:val="BodyTextIndent"/>
        <w:rPr>
          <w:sz w:val="24"/>
        </w:rPr>
      </w:pPr>
      <w:r>
        <w:rPr>
          <w:sz w:val="24"/>
        </w:rPr>
        <w:t>(b) Residents reporting decreases in income that are expected to last more than 30 days will have an interim adjustment processed.</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jc w:val="both"/>
        <w:rPr>
          <w:color w:val="000000"/>
        </w:rPr>
      </w:pPr>
      <w:r>
        <w:rPr>
          <w:color w:val="000000"/>
        </w:rPr>
        <w:t>Residents granted a reduction in rent under these provisions will be required to report any changes in income. Reporting is required until income increases or it is time for the next regularly scheduled reexamination, whichever occurs first.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Effective Date of Adjustments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Residents will be notified in writing of any rent adjustment including the effective date of the adjustment.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Rent decreases go into effect the first of the month following the reported change provided the tenant has reported by the 20 of the month.</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Rent increases (except those due to misrepresentation) require 30 days notice and become effective the first of the second month.</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
    <w:p w:rsidR="00305180" w:rsidRDefault="00305180">
      <w:pPr>
        <w:autoSpaceDE w:val="0"/>
        <w:autoSpaceDN w:val="0"/>
        <w:adjustRightInd w:val="0"/>
        <w:ind w:left="2880" w:firstLine="720"/>
        <w:rPr>
          <w:b/>
        </w:rPr>
      </w:pPr>
    </w:p>
    <w:p w:rsidR="00305180" w:rsidRDefault="00305180">
      <w:pPr>
        <w:autoSpaceDE w:val="0"/>
        <w:autoSpaceDN w:val="0"/>
        <w:adjustRightInd w:val="0"/>
        <w:ind w:left="2880" w:firstLine="720"/>
        <w:rPr>
          <w:b/>
        </w:rPr>
      </w:pPr>
    </w:p>
    <w:p w:rsidR="00305180" w:rsidRDefault="00305180">
      <w:pPr>
        <w:autoSpaceDE w:val="0"/>
        <w:autoSpaceDN w:val="0"/>
        <w:adjustRightInd w:val="0"/>
        <w:ind w:left="2880" w:firstLine="720"/>
        <w:rPr>
          <w:b/>
          <w:color w:val="000000"/>
        </w:rPr>
      </w:pPr>
      <w:r>
        <w:rPr>
          <w:b/>
        </w:rPr>
        <w:t>X. Lease Termination Procedures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General Policy: Lease Termination</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No resident’s lease shall be terminated except in compliance with HUD regulations and the lease terms.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Notice Requirements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No resident shall be given a Notice of Lease Termination without being told by HADCO in writing the reason for the termination.</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The resident must also be informed of his/her right to request a hearing in accordance with the Grievance Procedure, and be given the opportunity to make such a reply as he/she may wish.</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Notices of lease termination may be mailed first class, served personally, or posted on the apartment door.</w:t>
      </w:r>
    </w:p>
    <w:p w:rsidR="00305180" w:rsidRDefault="00305180">
      <w:pPr>
        <w:autoSpaceDE w:val="0"/>
        <w:autoSpaceDN w:val="0"/>
        <w:adjustRightInd w:val="0"/>
        <w:jc w:val="both"/>
        <w:rPr>
          <w:color w:val="000000"/>
        </w:rPr>
      </w:pPr>
    </w:p>
    <w:p w:rsidR="00305180" w:rsidRDefault="00305180">
      <w:pPr>
        <w:pStyle w:val="BodyText2"/>
        <w:rPr>
          <w:sz w:val="24"/>
        </w:rPr>
      </w:pPr>
      <w:r>
        <w:rPr>
          <w:sz w:val="24"/>
        </w:rPr>
        <w:t>Notice shall include a statement describing right of any resident with a disability to meet with the manager and determine whether a reasonable accommodation could eliminate the need for the lease termination.</w:t>
      </w:r>
    </w:p>
    <w:p w:rsidR="00305180" w:rsidRDefault="00305180">
      <w:pPr>
        <w:pStyle w:val="BodyText2"/>
        <w:ind w:left="360"/>
        <w:rPr>
          <w:sz w:val="24"/>
        </w:rPr>
      </w:pPr>
    </w:p>
    <w:p w:rsidR="00305180" w:rsidRDefault="00305180">
      <w:pPr>
        <w:autoSpaceDE w:val="0"/>
        <w:autoSpaceDN w:val="0"/>
        <w:adjustRightInd w:val="0"/>
        <w:jc w:val="both"/>
        <w:rPr>
          <w:b/>
          <w:color w:val="000000"/>
        </w:rPr>
      </w:pPr>
      <w:r>
        <w:rPr>
          <w:b/>
          <w:color w:val="000000"/>
        </w:rPr>
        <w:t>Recordkeeping Requirements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A written record of every termination and/or eviction shall be maintained by HADCO for three years, and shall contain the following information:</w:t>
      </w:r>
    </w:p>
    <w:p w:rsidR="00305180" w:rsidRDefault="00305180">
      <w:pPr>
        <w:autoSpaceDE w:val="0"/>
        <w:autoSpaceDN w:val="0"/>
        <w:adjustRightInd w:val="0"/>
        <w:jc w:val="both"/>
        <w:rPr>
          <w:color w:val="000000"/>
        </w:rPr>
      </w:pPr>
    </w:p>
    <w:p w:rsidR="00305180" w:rsidRDefault="00305180">
      <w:pPr>
        <w:autoSpaceDE w:val="0"/>
        <w:autoSpaceDN w:val="0"/>
        <w:adjustRightInd w:val="0"/>
        <w:ind w:left="576"/>
        <w:jc w:val="both"/>
        <w:rPr>
          <w:color w:val="000000"/>
        </w:rPr>
      </w:pPr>
      <w:r>
        <w:rPr>
          <w:color w:val="000000"/>
        </w:rPr>
        <w:t>• Name of resident, race and ethnicity, number and identification of unit occupied;</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Date of the Notice of Lease Termination and any other state or local notices required, which may be on the same form and run concurrently;</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Specific reason(s) for the Notice(s), with section of the lease violated, and other facts pertinent to the issuing of the Notice(s) described in detail;</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Date and method of notifying resident; and</w:t>
      </w:r>
    </w:p>
    <w:p w:rsidR="00305180" w:rsidRDefault="00305180">
      <w:pPr>
        <w:autoSpaceDE w:val="0"/>
        <w:autoSpaceDN w:val="0"/>
        <w:adjustRightInd w:val="0"/>
        <w:ind w:left="576"/>
        <w:jc w:val="both"/>
        <w:rPr>
          <w:color w:val="000000"/>
        </w:rPr>
      </w:pPr>
    </w:p>
    <w:p w:rsidR="00305180" w:rsidRDefault="00305180">
      <w:pPr>
        <w:autoSpaceDE w:val="0"/>
        <w:autoSpaceDN w:val="0"/>
        <w:adjustRightInd w:val="0"/>
        <w:ind w:left="576"/>
        <w:jc w:val="both"/>
        <w:rPr>
          <w:color w:val="000000"/>
        </w:rPr>
      </w:pPr>
      <w:r>
        <w:rPr>
          <w:color w:val="000000"/>
        </w:rPr>
        <w:t>• Summaries of any conferences held with resident including dates, names of conference participants and conclusions.</w:t>
      </w:r>
    </w:p>
    <w:p w:rsidR="00305180" w:rsidRDefault="00305180">
      <w:pPr>
        <w:autoSpaceDE w:val="0"/>
        <w:autoSpaceDN w:val="0"/>
        <w:adjustRightInd w:val="0"/>
        <w:jc w:val="both"/>
        <w:rPr>
          <w:color w:val="000000"/>
        </w:rPr>
      </w:pPr>
    </w:p>
    <w:p w:rsidR="00305180" w:rsidRDefault="00305180">
      <w:pPr>
        <w:pStyle w:val="Heading5"/>
        <w:jc w:val="both"/>
        <w:rPr>
          <w:sz w:val="24"/>
        </w:rPr>
      </w:pPr>
      <w:r>
        <w:rPr>
          <w:sz w:val="24"/>
        </w:rPr>
        <w:t>Re-Payment Agreements</w:t>
      </w:r>
    </w:p>
    <w:p w:rsidR="00305180" w:rsidRDefault="00305180">
      <w:pPr>
        <w:tabs>
          <w:tab w:val="left" w:pos="-1080"/>
          <w:tab w:val="left" w:pos="-720"/>
          <w:tab w:val="left" w:pos="450"/>
          <w:tab w:val="left" w:pos="720"/>
        </w:tabs>
        <w:jc w:val="both"/>
      </w:pPr>
    </w:p>
    <w:p w:rsidR="00305180" w:rsidRDefault="00305180">
      <w:pPr>
        <w:tabs>
          <w:tab w:val="left" w:pos="-1080"/>
          <w:tab w:val="left" w:pos="-720"/>
          <w:tab w:val="left" w:pos="450"/>
          <w:tab w:val="left" w:pos="720"/>
        </w:tabs>
        <w:jc w:val="both"/>
      </w:pPr>
      <w:r>
        <w:t xml:space="preserve">When a resident owes HADCO back charges and is unable to pay the balance by the due date, the resident may request to enter into a Repayment Agreement. HADCO has the sole discretion of whether to accept such an agreement. All Repayment Agreements must assure the full payment is made within a period not to exceed twelve (12) months if amount is under $500.00 and will require a minimum monthly payment of $10.00. Amounts over </w:t>
      </w:r>
      <w:r w:rsidR="0077626E">
        <w:t>$</w:t>
      </w:r>
      <w:r>
        <w:t>500.00 will be given eighteen (18) months with a minimum monthly payment of $20.00.  All Repayment Agreements must be in writing and signed by both parties. Failure to comply with the Repayment Agreement terms may subject the Resident to eviction procedures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Abandonment</w:t>
      </w:r>
    </w:p>
    <w:p w:rsidR="00305180" w:rsidRDefault="00305180">
      <w:pPr>
        <w:autoSpaceDE w:val="0"/>
        <w:autoSpaceDN w:val="0"/>
        <w:adjustRightInd w:val="0"/>
        <w:jc w:val="both"/>
      </w:pPr>
    </w:p>
    <w:p w:rsidR="00305180" w:rsidRDefault="00FC7630">
      <w:pPr>
        <w:autoSpaceDE w:val="0"/>
        <w:autoSpaceDN w:val="0"/>
        <w:adjustRightInd w:val="0"/>
        <w:jc w:val="both"/>
        <w:rPr>
          <w:b/>
        </w:rPr>
      </w:pPr>
      <w:r>
        <w:rPr>
          <w:b/>
        </w:rPr>
        <w:t xml:space="preserve">ORS </w:t>
      </w:r>
      <w:r w:rsidR="00305180">
        <w:rPr>
          <w:b/>
        </w:rPr>
        <w:t>90.410 Effect of tenant failure to give notice of absence: abandonment.</w:t>
      </w:r>
    </w:p>
    <w:p w:rsidR="00305180" w:rsidRDefault="00305180">
      <w:pPr>
        <w:autoSpaceDE w:val="0"/>
        <w:autoSpaceDN w:val="0"/>
        <w:adjustRightInd w:val="0"/>
        <w:jc w:val="both"/>
      </w:pPr>
    </w:p>
    <w:p w:rsidR="00305180" w:rsidRDefault="00305180">
      <w:pPr>
        <w:autoSpaceDE w:val="0"/>
        <w:autoSpaceDN w:val="0"/>
        <w:adjustRightInd w:val="0"/>
        <w:ind w:left="720"/>
        <w:jc w:val="both"/>
        <w:rPr>
          <w:color w:val="000000"/>
        </w:rPr>
      </w:pPr>
      <w:r>
        <w:t>1. If the rental agreement requires the tenant to give actual notice to the landlord of an anticipated extended absence in excess of seven days as permitted by ORS 90.340 and the tenant willfully fails to do so, the landlord may recover actual damages from the tenant.</w:t>
      </w:r>
    </w:p>
    <w:p w:rsidR="00305180" w:rsidRDefault="00305180">
      <w:pPr>
        <w:autoSpaceDE w:val="0"/>
        <w:autoSpaceDN w:val="0"/>
        <w:adjustRightInd w:val="0"/>
        <w:jc w:val="both"/>
        <w:rPr>
          <w:b/>
          <w:color w:val="000000"/>
        </w:rPr>
      </w:pPr>
    </w:p>
    <w:p w:rsidR="00305180" w:rsidRDefault="00305180">
      <w:pPr>
        <w:autoSpaceDE w:val="0"/>
        <w:autoSpaceDN w:val="0"/>
        <w:adjustRightInd w:val="0"/>
        <w:ind w:left="720"/>
        <w:jc w:val="both"/>
        <w:rPr>
          <w:color w:val="000000"/>
        </w:rPr>
      </w:pPr>
      <w:r>
        <w:rPr>
          <w:color w:val="000000"/>
        </w:rPr>
        <w:t>2. During any absence in excess of seven days, the landlord may enter dwelling unit at times reasonably necessary.</w:t>
      </w:r>
      <w:r w:rsidR="00250326">
        <w:rPr>
          <w:color w:val="000000"/>
        </w:rPr>
        <w:t xml:space="preserve"> HADCO staff will make every attempt to contact the resident prior to entering the unit and only enter the unit for emergency repairs or to confirm unit is vacant.</w:t>
      </w:r>
    </w:p>
    <w:p w:rsidR="00305180" w:rsidRDefault="00305180">
      <w:pPr>
        <w:autoSpaceDE w:val="0"/>
        <w:autoSpaceDN w:val="0"/>
        <w:adjustRightInd w:val="0"/>
        <w:ind w:left="720"/>
        <w:jc w:val="both"/>
        <w:rPr>
          <w:color w:val="000000"/>
        </w:rPr>
      </w:pPr>
    </w:p>
    <w:p w:rsidR="00305180" w:rsidRDefault="00305180">
      <w:pPr>
        <w:autoSpaceDE w:val="0"/>
        <w:autoSpaceDN w:val="0"/>
        <w:adjustRightInd w:val="0"/>
        <w:ind w:left="720"/>
        <w:jc w:val="both"/>
        <w:rPr>
          <w:color w:val="000000"/>
        </w:rPr>
      </w:pPr>
      <w:r>
        <w:rPr>
          <w:color w:val="000000"/>
        </w:rPr>
        <w:t>3. If the tenant abandons the dwelling unit, the landlord shall make reasonable efforts to rent it for a fair rental. If the landlord rents the dwelling unit for a term beginning before the expiration of the rental agreement, the rental agreement terminates as of the date of the new tenancy. If the landlord fails to use reasonable efforts to rent the dwelling unit at a fair rental or if the landlord accepts the abandonment as surrender, the rental agreement is deemed to be terminated by the landlord as of the dates knows or should know of the abandonment. If the tenancy is from month to month or week to week, the term of the rental agreement for this purpose is deemed to be a month or a week, as the case may be.</w:t>
      </w:r>
    </w:p>
    <w:p w:rsidR="00FC7630" w:rsidRDefault="00FC7630">
      <w:pPr>
        <w:autoSpaceDE w:val="0"/>
        <w:autoSpaceDN w:val="0"/>
        <w:adjustRightInd w:val="0"/>
        <w:ind w:left="720"/>
        <w:jc w:val="both"/>
        <w:rPr>
          <w:color w:val="000000"/>
        </w:rPr>
      </w:pPr>
    </w:p>
    <w:p w:rsidR="00FC7630" w:rsidRDefault="00FC7630">
      <w:pPr>
        <w:autoSpaceDE w:val="0"/>
        <w:autoSpaceDN w:val="0"/>
        <w:adjustRightInd w:val="0"/>
        <w:ind w:left="720"/>
        <w:jc w:val="both"/>
        <w:rPr>
          <w:color w:val="000000"/>
        </w:rPr>
      </w:pPr>
      <w:r w:rsidRPr="00067D59">
        <w:rPr>
          <w:color w:val="000000"/>
        </w:rPr>
        <w:t>HADCO will not consider the unit abandoned if the rent is paid current.</w:t>
      </w:r>
    </w:p>
    <w:p w:rsidR="00305180" w:rsidRDefault="00305180">
      <w:pPr>
        <w:autoSpaceDE w:val="0"/>
        <w:autoSpaceDN w:val="0"/>
        <w:adjustRightInd w:val="0"/>
        <w:ind w:left="720"/>
        <w:jc w:val="both"/>
        <w:rPr>
          <w:color w:val="000000"/>
        </w:rPr>
      </w:pPr>
    </w:p>
    <w:p w:rsidR="00305180" w:rsidRDefault="00305180">
      <w:pPr>
        <w:autoSpaceDE w:val="0"/>
        <w:autoSpaceDN w:val="0"/>
        <w:adjustRightInd w:val="0"/>
        <w:ind w:left="720"/>
        <w:jc w:val="both"/>
        <w:rPr>
          <w:color w:val="000000"/>
        </w:rPr>
      </w:pPr>
      <w:r>
        <w:rPr>
          <w:color w:val="000000"/>
        </w:rPr>
        <w:lastRenderedPageBreak/>
        <w:tab/>
      </w:r>
    </w:p>
    <w:p w:rsidR="00305180" w:rsidRDefault="00305180">
      <w:pPr>
        <w:autoSpaceDE w:val="0"/>
        <w:autoSpaceDN w:val="0"/>
        <w:adjustRightInd w:val="0"/>
        <w:jc w:val="both"/>
        <w:rPr>
          <w:b/>
          <w:color w:val="000000"/>
        </w:rPr>
      </w:pPr>
      <w:r>
        <w:rPr>
          <w:b/>
          <w:color w:val="000000"/>
        </w:rPr>
        <w:t>Security Deposit Refunds</w:t>
      </w:r>
    </w:p>
    <w:p w:rsidR="00305180" w:rsidRDefault="00305180">
      <w:pPr>
        <w:tabs>
          <w:tab w:val="left" w:pos="-1080"/>
          <w:tab w:val="left" w:pos="-720"/>
          <w:tab w:val="left" w:pos="1440"/>
        </w:tabs>
        <w:jc w:val="both"/>
        <w:rPr>
          <w:b/>
          <w:color w:val="000000"/>
        </w:rPr>
      </w:pPr>
    </w:p>
    <w:p w:rsidR="00305180" w:rsidRDefault="00305180">
      <w:pPr>
        <w:tabs>
          <w:tab w:val="left" w:pos="-1080"/>
          <w:tab w:val="left" w:pos="-720"/>
          <w:tab w:val="left" w:pos="1440"/>
        </w:tabs>
        <w:jc w:val="both"/>
      </w:pPr>
      <w:r>
        <w:t xml:space="preserve">In accordance with ORS 90.300, after a family moves out, HADCO will return the security deposit or give the family a written statement of why all or part of the security deposit is being kept. The refund and final billing statement will be mailed within thirty days of the vacated date.  </w:t>
      </w:r>
      <w:r w:rsidR="0077626E">
        <w:t xml:space="preserve">In the case of a transfer within Public Housing the resident can request in writing to pick up the statement and any applicable refunded security deposit. </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Copies of File Documents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HADCO will provide, to the family, one copy of all update letters, lease agreements, lease modifications, complaints against residents and tenant signed paperwork. Documents may be mailed first class, served personally, or posted on the apartment door. Additional copies can be purchased by the family at $0.25 per page. HADCO must receive payment for the copies prior to releasing the documents.</w:t>
      </w:r>
      <w:r w:rsidR="00A84567">
        <w:rPr>
          <w:color w:val="000000"/>
        </w:rPr>
        <w:t xml:space="preserve"> There will be no charge for electronic copies of tenant documents that are scanned and forwarded via e-mail.</w:t>
      </w:r>
    </w:p>
    <w:p w:rsidR="00305180" w:rsidRDefault="00305180" w:rsidP="00A84567">
      <w:pPr>
        <w:autoSpaceDE w:val="0"/>
        <w:autoSpaceDN w:val="0"/>
        <w:adjustRightInd w:val="0"/>
        <w:rPr>
          <w:b/>
          <w:color w:val="000000"/>
        </w:rPr>
      </w:pPr>
    </w:p>
    <w:p w:rsidR="00305180" w:rsidRDefault="00305180">
      <w:pPr>
        <w:autoSpaceDE w:val="0"/>
        <w:autoSpaceDN w:val="0"/>
        <w:adjustRightInd w:val="0"/>
        <w:jc w:val="center"/>
        <w:rPr>
          <w:b/>
          <w:color w:val="000000"/>
        </w:rPr>
      </w:pPr>
      <w:r>
        <w:rPr>
          <w:b/>
          <w:color w:val="000000"/>
        </w:rPr>
        <w:t>XI. Utilities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In some of HADCO’s developments, residents pay the cost of certain utilities directly to the supplier. At these properties, resident rents are reduced by an Allowance for Utilities developed by HADCO in consultation with the utility supplier and reviewed by HUD.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Resident-Paid Utilities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The following requirements apply to residents living in developments with resident-paid utilities: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Each resident will receive a monthly utility allowance that reflects a reasonable amount of utilities for the specific size and type of unit occupied.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When a resident’s Total Tenant Payment is less than the utility allowance, HADCO may pay a utility reimbursement, equal to the difference between one month’s total tenant payment and the utility allowance, to the utility company on the resident’s behalf or utility allowance may be paid directly to the resident.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When the utility supplier offers a “Budget” payment plan, it shall be suggested to the resident to use this plan because it protects the resident from seasonal fluctuations in utility bills and ensures adequate heat in the winter.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If an applicant is unable to get utilities connected because of a previous balance owed the utility company at a prior address, applicant will not be admitted and will receive a Notice of Rejection.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Paying the utility bill is the resident’s obligation under the Authority’s lease. Failure to pay utilities resulting in a shut off notice and utilities being put in the Housing Authorities name is grounds for lease termination and eviction.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Excess Utility Charges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Check-metered developments or buildings: In buildings that are checked metered, residents shall have consumption-based utility allowances that reflect the size and type of units and actual equipment provided by HADCO. Check meters shall be read by HADCO and each tenant charged for consumption in excess of the utility allowance.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lastRenderedPageBreak/>
        <w:t>Request for relief from surcharges for excess consumption of HADCO purchased utilities, or from payment of utility supplier billings in excess of the allowances for resident purchased utilities may be granted by HADCO on reasonable grounds, such as special needs of elderly, ill or disabled residents, or special factors affecting utility usage not within the control of the resident, as HADCO shall deem appropriate (CRF 965.508)</w:t>
      </w:r>
    </w:p>
    <w:p w:rsidR="00305180" w:rsidRDefault="00305180">
      <w:pPr>
        <w:autoSpaceDE w:val="0"/>
        <w:autoSpaceDN w:val="0"/>
        <w:adjustRightInd w:val="0"/>
        <w:jc w:val="both"/>
        <w:rPr>
          <w:color w:val="000000"/>
        </w:rPr>
      </w:pPr>
    </w:p>
    <w:p w:rsidR="00305180" w:rsidRDefault="00305180">
      <w:pPr>
        <w:pStyle w:val="Heading5"/>
        <w:rPr>
          <w:sz w:val="24"/>
        </w:rPr>
      </w:pPr>
      <w:r>
        <w:rPr>
          <w:sz w:val="24"/>
        </w:rPr>
        <w:t>XII. Flat Rents</w:t>
      </w:r>
    </w:p>
    <w:p w:rsidR="00305180" w:rsidRDefault="00305180">
      <w:pPr>
        <w:autoSpaceDE w:val="0"/>
        <w:autoSpaceDN w:val="0"/>
        <w:adjustRightInd w:val="0"/>
        <w:jc w:val="both"/>
        <w:rPr>
          <w:b/>
          <w:color w:val="000000"/>
        </w:rPr>
      </w:pPr>
    </w:p>
    <w:p w:rsidR="00305180" w:rsidRDefault="00305180">
      <w:pPr>
        <w:pStyle w:val="Heading8"/>
        <w:numPr>
          <w:ilvl w:val="0"/>
          <w:numId w:val="0"/>
        </w:numPr>
        <w:rPr>
          <w:sz w:val="24"/>
        </w:rPr>
      </w:pPr>
      <w:r>
        <w:rPr>
          <w:sz w:val="24"/>
        </w:rPr>
        <w:t>Flat Rents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Flat rents are market-based rents. They vary by unit size and type and also by development location. Once each year, at the annual recertification, all residents are offered the choice of paying an income based rent or the Flat rent. Flat rents represent the actual market value of HADCO’s housing units. HADCO will take the following information into account in developing its Flat rent Schedule:</w:t>
      </w:r>
    </w:p>
    <w:p w:rsidR="00305180" w:rsidRDefault="00305180">
      <w:pPr>
        <w:autoSpaceDE w:val="0"/>
        <w:autoSpaceDN w:val="0"/>
        <w:adjustRightInd w:val="0"/>
        <w:jc w:val="both"/>
        <w:rPr>
          <w:color w:val="000000"/>
        </w:rPr>
      </w:pPr>
    </w:p>
    <w:p w:rsidR="00305180" w:rsidRDefault="00305180">
      <w:pPr>
        <w:autoSpaceDE w:val="0"/>
        <w:autoSpaceDN w:val="0"/>
        <w:adjustRightInd w:val="0"/>
        <w:ind w:left="864"/>
        <w:jc w:val="both"/>
        <w:rPr>
          <w:color w:val="000000"/>
        </w:rPr>
      </w:pPr>
      <w:r>
        <w:rPr>
          <w:color w:val="000000"/>
        </w:rPr>
        <w:t>• Rents of non-assisted rental units in the immediate neighborhood;</w:t>
      </w:r>
    </w:p>
    <w:p w:rsidR="00305180" w:rsidRDefault="00305180">
      <w:pPr>
        <w:autoSpaceDE w:val="0"/>
        <w:autoSpaceDN w:val="0"/>
        <w:adjustRightInd w:val="0"/>
        <w:ind w:left="864"/>
        <w:jc w:val="both"/>
        <w:rPr>
          <w:color w:val="000000"/>
        </w:rPr>
      </w:pPr>
      <w:r>
        <w:rPr>
          <w:color w:val="000000"/>
        </w:rPr>
        <w:t>• Size of HADCO’s units compared to non-assisted rental units from the neighborhood;</w:t>
      </w:r>
    </w:p>
    <w:p w:rsidR="00305180" w:rsidRDefault="00305180">
      <w:pPr>
        <w:autoSpaceDE w:val="0"/>
        <w:autoSpaceDN w:val="0"/>
        <w:adjustRightInd w:val="0"/>
        <w:ind w:left="864"/>
        <w:jc w:val="both"/>
        <w:rPr>
          <w:color w:val="000000"/>
        </w:rPr>
      </w:pPr>
      <w:r>
        <w:rPr>
          <w:color w:val="000000"/>
        </w:rPr>
        <w:t>• Age, type of unit and condition of HADCO’s units compared to non-assisted rental units from the neighborhood;</w:t>
      </w:r>
    </w:p>
    <w:p w:rsidR="00305180" w:rsidRDefault="00305180">
      <w:pPr>
        <w:autoSpaceDE w:val="0"/>
        <w:autoSpaceDN w:val="0"/>
        <w:adjustRightInd w:val="0"/>
        <w:ind w:left="864"/>
        <w:jc w:val="both"/>
        <w:rPr>
          <w:color w:val="000000"/>
        </w:rPr>
      </w:pPr>
      <w:r>
        <w:rPr>
          <w:color w:val="000000"/>
        </w:rPr>
        <w:t>• Land use in the surrounding neighborhood;</w:t>
      </w:r>
    </w:p>
    <w:p w:rsidR="00305180" w:rsidRDefault="00305180">
      <w:pPr>
        <w:pStyle w:val="BodyTextIndent"/>
        <w:rPr>
          <w:sz w:val="24"/>
        </w:rPr>
      </w:pPr>
      <w:r>
        <w:rPr>
          <w:sz w:val="24"/>
        </w:rPr>
        <w:t>• Amenities (childcare, laundry facilities, playgrounds, community rooms, social services, education/job training programs, etc.) at HADCO’s properties and in the surrounding neighborhood;</w:t>
      </w:r>
    </w:p>
    <w:p w:rsidR="00305180" w:rsidRDefault="00305180">
      <w:pPr>
        <w:autoSpaceDE w:val="0"/>
        <w:autoSpaceDN w:val="0"/>
        <w:adjustRightInd w:val="0"/>
        <w:ind w:left="864"/>
        <w:jc w:val="both"/>
        <w:rPr>
          <w:color w:val="000000"/>
        </w:rPr>
      </w:pPr>
      <w:r>
        <w:rPr>
          <w:color w:val="000000"/>
        </w:rPr>
        <w:t>• Crime in HADCO’s developments and the surrounding neighborhood;</w:t>
      </w:r>
    </w:p>
    <w:p w:rsidR="00305180" w:rsidRDefault="00305180">
      <w:pPr>
        <w:autoSpaceDE w:val="0"/>
        <w:autoSpaceDN w:val="0"/>
        <w:adjustRightInd w:val="0"/>
        <w:ind w:left="864"/>
        <w:jc w:val="both"/>
        <w:rPr>
          <w:color w:val="000000"/>
        </w:rPr>
      </w:pPr>
      <w:r>
        <w:rPr>
          <w:color w:val="000000"/>
        </w:rPr>
        <w:t>• Quality of local schools serving each HADCO development;</w:t>
      </w:r>
    </w:p>
    <w:p w:rsidR="00305180" w:rsidRDefault="00305180">
      <w:pPr>
        <w:autoSpaceDE w:val="0"/>
        <w:autoSpaceDN w:val="0"/>
        <w:adjustRightInd w:val="0"/>
        <w:ind w:left="864"/>
        <w:jc w:val="both"/>
        <w:rPr>
          <w:color w:val="000000"/>
        </w:rPr>
      </w:pPr>
      <w:r>
        <w:rPr>
          <w:color w:val="000000"/>
        </w:rPr>
        <w:t>• Availability of public transportation at each HADCO development; and</w:t>
      </w:r>
    </w:p>
    <w:p w:rsidR="00305180" w:rsidRDefault="00305180">
      <w:pPr>
        <w:autoSpaceDE w:val="0"/>
        <w:autoSpaceDN w:val="0"/>
        <w:adjustRightInd w:val="0"/>
        <w:ind w:left="864"/>
        <w:jc w:val="both"/>
        <w:rPr>
          <w:color w:val="000000"/>
        </w:rPr>
      </w:pPr>
      <w:r>
        <w:rPr>
          <w:color w:val="000000"/>
        </w:rPr>
        <w:t>• Availability of accessible units for persons with mobility impairments.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Families who opt for the flat rent may request to have a reexamination and return to the income based method at anytime for any of the following reasons:</w:t>
      </w:r>
    </w:p>
    <w:p w:rsidR="00305180" w:rsidRDefault="00305180">
      <w:pPr>
        <w:autoSpaceDE w:val="0"/>
        <w:autoSpaceDN w:val="0"/>
        <w:adjustRightInd w:val="0"/>
        <w:jc w:val="both"/>
        <w:rPr>
          <w:color w:val="000000"/>
        </w:rPr>
      </w:pPr>
    </w:p>
    <w:p w:rsidR="00305180" w:rsidRDefault="00305180">
      <w:pPr>
        <w:numPr>
          <w:ilvl w:val="0"/>
          <w:numId w:val="33"/>
        </w:numPr>
        <w:autoSpaceDE w:val="0"/>
        <w:autoSpaceDN w:val="0"/>
        <w:adjustRightInd w:val="0"/>
        <w:jc w:val="both"/>
        <w:rPr>
          <w:color w:val="000000"/>
        </w:rPr>
      </w:pPr>
      <w:r>
        <w:rPr>
          <w:color w:val="000000"/>
        </w:rPr>
        <w:t>Family’s income has decreased.</w:t>
      </w:r>
    </w:p>
    <w:p w:rsidR="00305180" w:rsidRDefault="00305180">
      <w:pPr>
        <w:numPr>
          <w:ilvl w:val="0"/>
          <w:numId w:val="33"/>
        </w:numPr>
        <w:autoSpaceDE w:val="0"/>
        <w:autoSpaceDN w:val="0"/>
        <w:adjustRightInd w:val="0"/>
        <w:jc w:val="both"/>
        <w:rPr>
          <w:color w:val="000000"/>
        </w:rPr>
      </w:pPr>
      <w:r>
        <w:rPr>
          <w:color w:val="000000"/>
        </w:rPr>
        <w:t>Family’s circumstances have changed increasing their expense for child care.</w:t>
      </w:r>
    </w:p>
    <w:p w:rsidR="00305180" w:rsidRDefault="00305180">
      <w:pPr>
        <w:numPr>
          <w:ilvl w:val="0"/>
          <w:numId w:val="33"/>
        </w:numPr>
        <w:autoSpaceDE w:val="0"/>
        <w:autoSpaceDN w:val="0"/>
        <w:adjustRightInd w:val="0"/>
        <w:jc w:val="both"/>
        <w:rPr>
          <w:color w:val="000000"/>
        </w:rPr>
      </w:pPr>
      <w:r>
        <w:rPr>
          <w:color w:val="000000"/>
        </w:rPr>
        <w:t>Other circumstances creating hardship on the family such that the income method would be more financially feasible for the family.</w:t>
      </w:r>
    </w:p>
    <w:p w:rsidR="00305180" w:rsidRDefault="00305180">
      <w:pPr>
        <w:autoSpaceDE w:val="0"/>
        <w:autoSpaceDN w:val="0"/>
        <w:adjustRightInd w:val="0"/>
        <w:jc w:val="both"/>
        <w:rPr>
          <w:color w:val="000000"/>
        </w:rPr>
      </w:pPr>
    </w:p>
    <w:p w:rsidR="00305180" w:rsidRDefault="00305180">
      <w:pPr>
        <w:pStyle w:val="Heading8"/>
        <w:numPr>
          <w:ilvl w:val="0"/>
          <w:numId w:val="0"/>
        </w:numPr>
        <w:rPr>
          <w:sz w:val="24"/>
        </w:rPr>
      </w:pPr>
      <w:r>
        <w:rPr>
          <w:sz w:val="24"/>
        </w:rPr>
        <w:t>Annual Update of Flat Rents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HADCO shall review the Flat Rent structure annually and adjust the rents as needed. When a resident chooses Flat rent, his/her rent shall be adjusted only at the next regular reexamination/ recertification rather than at the point the Flat rent may change.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Recertification of Families on Flat Rents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Families paying flat rents are required to recertify income only every three years, rather than annually, although they are still required to participate in an Annual Reexamination in order to ensure that unit size is still appropriate and Community Service requirements (if applicable) are met.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
    <w:p w:rsidR="00305180" w:rsidRDefault="00305180">
      <w:pPr>
        <w:pStyle w:val="Heading5"/>
        <w:ind w:left="1440"/>
        <w:jc w:val="left"/>
        <w:rPr>
          <w:sz w:val="24"/>
        </w:rPr>
      </w:pPr>
      <w:r>
        <w:rPr>
          <w:sz w:val="24"/>
        </w:rPr>
        <w:t>XIII. Definitions and Procedures to be used in Determining Income and Rent</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lastRenderedPageBreak/>
        <w:t>Annual Income</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Annual income is the anticipated total income from all sources, including net income derived from assets, received by the family head and spouse (even if temporarily absent) and by each additional family member including all net income from assets for the 12-month period following the effective date of initial determination or reexamination of income, exclusive of income that is temporary, non-recurring, or sporadic as defined below, or is specifically excluded from income by other federal statute. Annual income includes but is not limited to:</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full amount, before any payroll deductions, of wages and salaries, overtime pay, commissions, fees, tips and bonuses, and other compensation for personal services;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roofErr w:type="gramStart"/>
      <w:r>
        <w:rPr>
          <w:color w:val="000000"/>
        </w:rPr>
        <w:t>The net income from operation of a business or profession, including any withdrawal of cash or assets from the operation of the business.</w:t>
      </w:r>
      <w:proofErr w:type="gramEnd"/>
      <w:r>
        <w:rPr>
          <w:color w:val="000000"/>
        </w:rPr>
        <w:t xml:space="preserve"> Expenditures for business expansion or amortization of capital indebtedness shall not be used as deductions in determining the net income from a business. An allowance for the straight-line depreciation of assets used in a business or profession may be deducted as provided in IRS regulations. Withdrawals of cash or assets will not be considered income when used to reimburse the family for cash or assets invested in the business;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roofErr w:type="gramStart"/>
      <w:r>
        <w:rPr>
          <w:color w:val="000000"/>
        </w:rPr>
        <w:t>Interest, dividends, and other net income of any kind from real or personal property.</w:t>
      </w:r>
      <w:proofErr w:type="gramEnd"/>
      <w:r>
        <w:rPr>
          <w:color w:val="000000"/>
        </w:rPr>
        <w:t xml:space="preserve"> Expenditures for amortization of capital indebtedness shall not be used as deductions in determining net income. An allowance for the straight-line depreciation of real or personal property is permitted. Withdrawals of cash or assets will not be considered income when used to reimburse the family for cash or assets invested in the property;</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If the Family has Net Family Assets in excess of $5,000, Annual Income shall include the greater of the actual income derived from all Net Family Assets or a percentage of the value of such Assets based on the current passbook savings rate as determined by HUD;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full amount of periodic payments received from Social Security, annuities, insurance policies, retirement funds, pensions, disability or death benefits, and other similar types of periodic receipts [See below for treatment of delayed or deferred periodic payment of social security or supplemental security income benefits.];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Payments in lieu of earnings, such as unemployment and disability compensation, worker’s compensation, and severance pay (But see paragraph B. 3. below concerning treatment of lump-sum additions as Family assets.);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All welfare assistance payments (Temporary Assistance to Needy Families, General Assistance) received by or on behalf of any family member;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Periodic and determinable allowances, such as alimony and child support payments, and regular cash and non-cash contributions or gifts received from agencies or persons not residing in the dwelling made to or on behalf of family members; and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proofErr w:type="gramStart"/>
      <w:r>
        <w:rPr>
          <w:color w:val="000000"/>
        </w:rPr>
        <w:t>All regular pay, special pay, and allowances of a family member in the Armed Forces.</w:t>
      </w:r>
      <w:proofErr w:type="gramEnd"/>
      <w:r>
        <w:rPr>
          <w:color w:val="000000"/>
        </w:rPr>
        <w:t xml:space="preserve"> (See paragraph B. 7. below concerning pay for exposure to hostile fire.)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See Appendix </w:t>
      </w:r>
      <w:proofErr w:type="gramStart"/>
      <w:r>
        <w:rPr>
          <w:color w:val="000000"/>
        </w:rPr>
        <w:t>A</w:t>
      </w:r>
      <w:proofErr w:type="gramEnd"/>
      <w:r>
        <w:rPr>
          <w:color w:val="000000"/>
        </w:rPr>
        <w:t xml:space="preserve"> pg. 43</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Items not included in Annual Income</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u w:val="single"/>
        </w:rPr>
      </w:pPr>
      <w:r>
        <w:rPr>
          <w:color w:val="000000"/>
          <w:u w:val="single"/>
        </w:rPr>
        <w:t>Annual Income does not include the following:</w:t>
      </w:r>
    </w:p>
    <w:p w:rsidR="00305180" w:rsidRDefault="00305180">
      <w:pPr>
        <w:autoSpaceDE w:val="0"/>
        <w:autoSpaceDN w:val="0"/>
        <w:adjustRightInd w:val="0"/>
        <w:jc w:val="both"/>
        <w:rPr>
          <w:color w:val="000000"/>
          <w:u w:val="single"/>
        </w:rPr>
      </w:pPr>
    </w:p>
    <w:p w:rsidR="00305180" w:rsidRDefault="00305180">
      <w:pPr>
        <w:autoSpaceDE w:val="0"/>
        <w:autoSpaceDN w:val="0"/>
        <w:adjustRightInd w:val="0"/>
        <w:jc w:val="both"/>
        <w:rPr>
          <w:color w:val="000000"/>
        </w:rPr>
      </w:pPr>
      <w:r>
        <w:rPr>
          <w:color w:val="000000"/>
        </w:rPr>
        <w:t>Income from the employment of children (including foster children) under the age of 18 years;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Payments received for the care of foster children or foster adults (usually individuals with disabilities, unrelated to the resident family, who are unable to live alone);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Lump sum additions to family assets, such as inheritances, insurance payments (including payments under health and accident insurance, and worker’s compensation), capital gains, one-time lottery winnings, and settlement for personal property losses (but see paragraphs 4 and 5 above if the payments are or will be periodic in nature); [See paragraph 14. below for treatment of delayed or deferred periodic payments of Social Security or Supplemental Security Income benefits.]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Amounts received by the family that are specifically for, or in reimbursement of, the cost of medical expenses for any family member;</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Income of a live-in </w:t>
      </w:r>
      <w:proofErr w:type="gramStart"/>
      <w:r>
        <w:rPr>
          <w:color w:val="000000"/>
        </w:rPr>
        <w:t>aide,</w:t>
      </w:r>
      <w:proofErr w:type="gramEnd"/>
      <w:r>
        <w:rPr>
          <w:color w:val="000000"/>
        </w:rPr>
        <w:t xml:space="preserve"> provided the person meets the definition of a live-in aide (See Section 12 of these policies);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full amount of student financial assistance paid directly to the student or the educational institution;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The special pay to a family member serving in the Armed Forces who is exposed to hostile fire;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Certain amounts received that are related to participation in the following programs:</w:t>
      </w:r>
    </w:p>
    <w:p w:rsidR="00305180" w:rsidRDefault="00305180">
      <w:pPr>
        <w:autoSpaceDE w:val="0"/>
        <w:autoSpaceDN w:val="0"/>
        <w:adjustRightInd w:val="0"/>
        <w:jc w:val="both"/>
        <w:rPr>
          <w:color w:val="000000"/>
        </w:rPr>
      </w:pPr>
    </w:p>
    <w:p w:rsidR="00305180" w:rsidRDefault="00305180">
      <w:pPr>
        <w:autoSpaceDE w:val="0"/>
        <w:autoSpaceDN w:val="0"/>
        <w:adjustRightInd w:val="0"/>
        <w:ind w:left="576"/>
        <w:jc w:val="both"/>
        <w:rPr>
          <w:color w:val="000000"/>
        </w:rPr>
      </w:pPr>
      <w:r>
        <w:rPr>
          <w:color w:val="000000"/>
        </w:rPr>
        <w:t>(a) Amounts received under HUD funded training programs (e.g. Step-up program: excludes stipends, wages, transportation payments, child care vouchers, etc. for the duration of the training);</w:t>
      </w:r>
    </w:p>
    <w:p w:rsidR="00305180" w:rsidRDefault="00305180">
      <w:pPr>
        <w:autoSpaceDE w:val="0"/>
        <w:autoSpaceDN w:val="0"/>
        <w:adjustRightInd w:val="0"/>
        <w:ind w:left="576"/>
        <w:jc w:val="both"/>
        <w:rPr>
          <w:color w:val="000000"/>
        </w:rPr>
      </w:pPr>
      <w:r>
        <w:rPr>
          <w:color w:val="000000"/>
        </w:rPr>
        <w:t>(b) Amounts received by a person with disabilities that are disregarded for a limited time for purposes of Supplemental Security Income and benefits that are set aside for use under a Plan to Attain Self- Sufficiency (PASS);</w:t>
      </w:r>
    </w:p>
    <w:p w:rsidR="00305180" w:rsidRDefault="00305180">
      <w:pPr>
        <w:autoSpaceDE w:val="0"/>
        <w:autoSpaceDN w:val="0"/>
        <w:adjustRightInd w:val="0"/>
        <w:ind w:left="576"/>
        <w:jc w:val="both"/>
        <w:rPr>
          <w:color w:val="000000"/>
        </w:rPr>
      </w:pPr>
      <w:r>
        <w:rPr>
          <w:color w:val="000000"/>
        </w:rPr>
        <w:t>(c) Amounts received by a participant in other publicly assisted programs that are specifically for, or in reimbursement of, out-of-pocket expenses incurred (special equipment, clothing, transportation, child care, etc.) to allow participation in a specific program;</w:t>
      </w:r>
    </w:p>
    <w:p w:rsidR="00305180" w:rsidRDefault="00305180">
      <w:pPr>
        <w:autoSpaceDE w:val="0"/>
        <w:autoSpaceDN w:val="0"/>
        <w:adjustRightInd w:val="0"/>
        <w:ind w:left="576"/>
        <w:jc w:val="both"/>
        <w:rPr>
          <w:color w:val="000000"/>
        </w:rPr>
      </w:pPr>
      <w:r>
        <w:rPr>
          <w:color w:val="000000"/>
        </w:rPr>
        <w:t>(d) A resident services stipend. A resident services stipend is a modest amount (not to exceed $200/month) received by a public housing resident for performing a service for the HADCO, on a part-time basis, that enhances the quality of life in public housing. Such services may include but are not limited to, fire patrol, hall monitoring, lawn maintenance, and resident initiatives coordination. No resident may receive more than one such stipend during the same period of time; and</w:t>
      </w:r>
    </w:p>
    <w:p w:rsidR="00305180" w:rsidRDefault="00305180">
      <w:pPr>
        <w:autoSpaceDE w:val="0"/>
        <w:autoSpaceDN w:val="0"/>
        <w:adjustRightInd w:val="0"/>
        <w:ind w:left="576"/>
        <w:jc w:val="both"/>
        <w:rPr>
          <w:color w:val="000000"/>
        </w:rPr>
      </w:pPr>
      <w:r>
        <w:rPr>
          <w:color w:val="000000"/>
        </w:rPr>
        <w:t>(e) Incremental earnings and/or benefits resulting to any family member from participation in qualifying state of local employment training program (including training programs not affiliated with the local government), and training of family members as resident management staff. Amounts excluded by this provision must be received under employment training programs with clearly defined goals and objectives, and are excluded only for a limited period as determined in advance by the HADCO;</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Temporary, non-recurring, or sporadic income (including gifts);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Reparation payments paid by foreign governments pursuant to claims filed under the laws of that government by persons who were persecuted during the Nazi era;</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lastRenderedPageBreak/>
        <w:t>Earnings in excess of $480 for each full-time student 18 years old or older (excluding the head of the household and spouse);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Adoption assistance payments in excess of $480 per adopted child;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The incremental earnings and benefits to any resident 1) whose annual income increases due to employment of a family member who was unemployed for one or more years previous to employment; or 2) whose annual income increases as the result of increased earnings by a family member during participation in any economic self sufficiency or other job training program; or 3) whose annual income increases due to new employment or increased earnings of a family member during or within six months of receiving state-funded assistance, benefits or services, </w:t>
      </w:r>
      <w:r>
        <w:rPr>
          <w:b/>
          <w:color w:val="000000"/>
        </w:rPr>
        <w:t>will not be increased during the exclusion period</w:t>
      </w:r>
      <w:r>
        <w:rPr>
          <w:color w:val="000000"/>
        </w:rPr>
        <w:t>. For purposes of this paragraph, the following definitions apply:</w:t>
      </w:r>
    </w:p>
    <w:p w:rsidR="00305180" w:rsidRDefault="00305180">
      <w:pPr>
        <w:autoSpaceDE w:val="0"/>
        <w:autoSpaceDN w:val="0"/>
        <w:adjustRightInd w:val="0"/>
        <w:jc w:val="both"/>
        <w:rPr>
          <w:color w:val="000000"/>
        </w:rPr>
      </w:pPr>
    </w:p>
    <w:p w:rsidR="00305180" w:rsidRDefault="00305180">
      <w:pPr>
        <w:autoSpaceDE w:val="0"/>
        <w:autoSpaceDN w:val="0"/>
        <w:adjustRightInd w:val="0"/>
        <w:ind w:left="576"/>
        <w:jc w:val="both"/>
        <w:rPr>
          <w:color w:val="000000"/>
        </w:rPr>
      </w:pPr>
      <w:r>
        <w:rPr>
          <w:color w:val="000000"/>
        </w:rPr>
        <w:t xml:space="preserve">(a) State-funded assistance, benefits or services means any state program for temporary assistance for needy families funded under Part </w:t>
      </w:r>
      <w:proofErr w:type="gramStart"/>
      <w:r>
        <w:rPr>
          <w:color w:val="000000"/>
        </w:rPr>
        <w:t>A</w:t>
      </w:r>
      <w:proofErr w:type="gramEnd"/>
      <w:r>
        <w:rPr>
          <w:color w:val="000000"/>
        </w:rPr>
        <w:t xml:space="preserve"> of Title IV of the Social Security Act, as determined by the HADCO in consultation with the local agencies administering Temporary Assistance for Needy Families (TANF) and Welfare-to-Work programs. The TANF program is not limited to monthly income maintenance, but also includes such benefits and services as one-time payments, wage subsidies and transportation assistance – provided that the total amount over a six-month period is at least $500.</w:t>
      </w:r>
    </w:p>
    <w:p w:rsidR="00305180" w:rsidRDefault="00305180">
      <w:pPr>
        <w:autoSpaceDE w:val="0"/>
        <w:autoSpaceDN w:val="0"/>
        <w:adjustRightInd w:val="0"/>
        <w:ind w:left="576"/>
        <w:jc w:val="both"/>
        <w:rPr>
          <w:color w:val="000000"/>
        </w:rPr>
      </w:pPr>
      <w:r>
        <w:rPr>
          <w:color w:val="000000"/>
        </w:rPr>
        <w:t>(b) During the 12-month period beginning when the member first qualifies for a disallowance, the HADCO must exclude from Annual Income any increase in income as a result of employment. For the 12 months following the exclusion period, 50% of the income increase shall be excluded.</w:t>
      </w:r>
    </w:p>
    <w:p w:rsidR="00305180" w:rsidRDefault="00305180">
      <w:pPr>
        <w:autoSpaceDE w:val="0"/>
        <w:autoSpaceDN w:val="0"/>
        <w:adjustRightInd w:val="0"/>
        <w:ind w:left="576"/>
        <w:jc w:val="both"/>
        <w:rPr>
          <w:color w:val="000000"/>
        </w:rPr>
      </w:pPr>
      <w:r>
        <w:rPr>
          <w:color w:val="000000"/>
        </w:rPr>
        <w:t>(c) Regardless of how long it takes a resident to work for 12 months (to qualify for the first exclusion) or the second 12 months (to qualify for the second exclusion), the maximum period for the disallowance (exclusion) is 48 months.</w:t>
      </w:r>
    </w:p>
    <w:p w:rsidR="00305180" w:rsidRDefault="00305180">
      <w:pPr>
        <w:autoSpaceDE w:val="0"/>
        <w:autoSpaceDN w:val="0"/>
        <w:adjustRightInd w:val="0"/>
        <w:ind w:left="576"/>
        <w:jc w:val="both"/>
        <w:rPr>
          <w:color w:val="000000"/>
        </w:rPr>
      </w:pPr>
      <w:r>
        <w:rPr>
          <w:color w:val="000000"/>
        </w:rPr>
        <w:t>(d) The disallowance of increased income under this section is only applicable to current residents and will not apply to applicants who have begun working prior to admission (unless their earnings are less than would be earned working ten hours per week at minimum wage, under which they qualify as unemployed).</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Deferred periodic payments of supplemental security income and social security benefits that are received in a lump sum payment;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Amounts received by the family in the form of refunds or rebates under state or local law for property taxes paid on the dwelling unit;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Amounts paid by a State agency to a family with a developmentally disabled family member living at home to offset the cost of services and equipment needed to keep the developmentally disabled family member at home;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Amounts specifically excluded by any other Federal Statute from consideration as income for purposes of determining eligibility or benefits under a category of assistance programs that includes assistance under the United States Housing Act of 1937. (A notice will be published by HUD in the Federal Register identifying the benefits that qualify for this exclusion. Updates will be published and distributed when necessary.) The following is a list of benefits excluded by other Federal Statute:</w:t>
      </w:r>
    </w:p>
    <w:p w:rsidR="00305180" w:rsidRDefault="00305180">
      <w:pPr>
        <w:autoSpaceDE w:val="0"/>
        <w:autoSpaceDN w:val="0"/>
        <w:adjustRightInd w:val="0"/>
        <w:jc w:val="both"/>
        <w:rPr>
          <w:color w:val="000000"/>
        </w:rPr>
      </w:pPr>
    </w:p>
    <w:p w:rsidR="00305180" w:rsidRDefault="00305180">
      <w:pPr>
        <w:autoSpaceDE w:val="0"/>
        <w:autoSpaceDN w:val="0"/>
        <w:adjustRightInd w:val="0"/>
        <w:ind w:left="576"/>
        <w:jc w:val="both"/>
        <w:rPr>
          <w:b/>
          <w:color w:val="000000"/>
        </w:rPr>
      </w:pPr>
      <w:r>
        <w:rPr>
          <w:color w:val="000000"/>
        </w:rPr>
        <w:t xml:space="preserve">• The value of the allotment provided to an eligible household for coupons under the Food Stamp Act of 1977 </w:t>
      </w:r>
      <w:r>
        <w:rPr>
          <w:b/>
          <w:color w:val="000000"/>
        </w:rPr>
        <w:t>[7 USC 2017 (h)];</w:t>
      </w:r>
    </w:p>
    <w:p w:rsidR="00305180" w:rsidRDefault="00305180">
      <w:pPr>
        <w:autoSpaceDE w:val="0"/>
        <w:autoSpaceDN w:val="0"/>
        <w:adjustRightInd w:val="0"/>
        <w:ind w:left="576"/>
        <w:jc w:val="both"/>
        <w:rPr>
          <w:color w:val="000000"/>
        </w:rPr>
      </w:pPr>
      <w:r>
        <w:rPr>
          <w:color w:val="000000"/>
        </w:rPr>
        <w:t xml:space="preserve">• Payments to volunteers under the Domestic Volunteer Service Act of 1973 </w:t>
      </w:r>
      <w:r>
        <w:rPr>
          <w:b/>
          <w:color w:val="000000"/>
        </w:rPr>
        <w:t>[42 USC 5044 (g), 5088]</w:t>
      </w:r>
      <w:r>
        <w:rPr>
          <w:color w:val="000000"/>
        </w:rPr>
        <w:t xml:space="preserve">; </w:t>
      </w:r>
    </w:p>
    <w:p w:rsidR="00305180" w:rsidRDefault="00305180">
      <w:pPr>
        <w:autoSpaceDE w:val="0"/>
        <w:autoSpaceDN w:val="0"/>
        <w:adjustRightInd w:val="0"/>
        <w:ind w:left="864"/>
        <w:jc w:val="both"/>
        <w:rPr>
          <w:color w:val="000000"/>
        </w:rPr>
      </w:pPr>
      <w:r>
        <w:rPr>
          <w:color w:val="000000"/>
        </w:rPr>
        <w:t>Examples of programs under this Act include but are not limited to:</w:t>
      </w:r>
    </w:p>
    <w:p w:rsidR="00305180" w:rsidRDefault="00305180">
      <w:pPr>
        <w:autoSpaceDE w:val="0"/>
        <w:autoSpaceDN w:val="0"/>
        <w:adjustRightInd w:val="0"/>
        <w:ind w:left="864"/>
        <w:jc w:val="both"/>
        <w:rPr>
          <w:color w:val="000000"/>
        </w:rPr>
      </w:pPr>
      <w:r>
        <w:rPr>
          <w:color w:val="000000"/>
        </w:rPr>
        <w:lastRenderedPageBreak/>
        <w:t>—the Retired Senior Volunteer Program (RSVP), Foster Grandparent Program (FGP), Senior Companion Program (SCP), and the Older American Committee Service Program;</w:t>
      </w:r>
    </w:p>
    <w:p w:rsidR="00305180" w:rsidRDefault="00305180">
      <w:pPr>
        <w:autoSpaceDE w:val="0"/>
        <w:autoSpaceDN w:val="0"/>
        <w:adjustRightInd w:val="0"/>
        <w:ind w:left="864"/>
        <w:jc w:val="both"/>
        <w:rPr>
          <w:color w:val="000000"/>
        </w:rPr>
      </w:pPr>
      <w:r>
        <w:rPr>
          <w:color w:val="000000"/>
        </w:rPr>
        <w:t>—National Volunteer Antipoverty Programs such as VISTA, Peace Corps, Service Learning Program, and Special Volunteer Programs;</w:t>
      </w:r>
    </w:p>
    <w:p w:rsidR="00305180" w:rsidRDefault="00305180">
      <w:pPr>
        <w:pStyle w:val="BodyTextIndent2"/>
        <w:ind w:left="864"/>
        <w:rPr>
          <w:sz w:val="24"/>
        </w:rPr>
      </w:pPr>
      <w:r>
        <w:rPr>
          <w:sz w:val="24"/>
        </w:rPr>
        <w:t>—Small Business Administration Programs such as the National Volunteer Program to Assist Small Business and Promote Volunteer Service to Persons with Business Experience, Service Corps of Retired Executives (SCORE), and Active Corps of Executives (ACE).</w:t>
      </w:r>
    </w:p>
    <w:p w:rsidR="00305180" w:rsidRDefault="00305180">
      <w:pPr>
        <w:autoSpaceDE w:val="0"/>
        <w:autoSpaceDN w:val="0"/>
        <w:adjustRightInd w:val="0"/>
        <w:ind w:left="576"/>
        <w:jc w:val="both"/>
        <w:rPr>
          <w:b/>
          <w:color w:val="000000"/>
        </w:rPr>
      </w:pPr>
      <w:r>
        <w:rPr>
          <w:color w:val="000000"/>
        </w:rPr>
        <w:t xml:space="preserve">• Payments received under the Alaska Native Claims Settlement Act </w:t>
      </w:r>
      <w:r>
        <w:rPr>
          <w:b/>
          <w:color w:val="000000"/>
        </w:rPr>
        <w:t>[43 USC.1626 (a)];</w:t>
      </w:r>
    </w:p>
    <w:p w:rsidR="00305180" w:rsidRDefault="00305180">
      <w:pPr>
        <w:autoSpaceDE w:val="0"/>
        <w:autoSpaceDN w:val="0"/>
        <w:adjustRightInd w:val="0"/>
        <w:ind w:left="576"/>
        <w:jc w:val="both"/>
        <w:rPr>
          <w:b/>
          <w:color w:val="000000"/>
        </w:rPr>
      </w:pPr>
      <w:r>
        <w:rPr>
          <w:color w:val="000000"/>
        </w:rPr>
        <w:t xml:space="preserve">• Income derived from certain sub marginal land of the United States that is held in trust for certain Indian tribes </w:t>
      </w:r>
      <w:r>
        <w:rPr>
          <w:b/>
          <w:color w:val="000000"/>
        </w:rPr>
        <w:t>[(25 USC. 459e];</w:t>
      </w:r>
    </w:p>
    <w:p w:rsidR="00305180" w:rsidRDefault="00305180">
      <w:pPr>
        <w:autoSpaceDE w:val="0"/>
        <w:autoSpaceDN w:val="0"/>
        <w:adjustRightInd w:val="0"/>
        <w:ind w:left="576"/>
        <w:jc w:val="both"/>
        <w:rPr>
          <w:color w:val="000000"/>
        </w:rPr>
      </w:pPr>
      <w:r>
        <w:rPr>
          <w:color w:val="000000"/>
        </w:rPr>
        <w:t xml:space="preserve">• Payments or allowances made under the Department of Health and Human Services’ Low-Income Home Energy Assistance Program </w:t>
      </w:r>
      <w:r>
        <w:rPr>
          <w:b/>
          <w:color w:val="000000"/>
        </w:rPr>
        <w:t>[42 USC 8624 (f)]</w:t>
      </w:r>
      <w:r>
        <w:rPr>
          <w:color w:val="000000"/>
        </w:rPr>
        <w:t>;</w:t>
      </w:r>
    </w:p>
    <w:p w:rsidR="00305180" w:rsidRDefault="00305180">
      <w:pPr>
        <w:autoSpaceDE w:val="0"/>
        <w:autoSpaceDN w:val="0"/>
        <w:adjustRightInd w:val="0"/>
        <w:ind w:left="576"/>
        <w:jc w:val="both"/>
        <w:rPr>
          <w:b/>
          <w:color w:val="000000"/>
        </w:rPr>
      </w:pPr>
      <w:r>
        <w:rPr>
          <w:color w:val="000000"/>
        </w:rPr>
        <w:t xml:space="preserve">• Payments received under programs funded in whole or in part under the Job Training Partnership Act </w:t>
      </w:r>
      <w:r>
        <w:rPr>
          <w:b/>
          <w:color w:val="000000"/>
        </w:rPr>
        <w:t>[29 USC 1552 (b)</w:t>
      </w:r>
      <w:proofErr w:type="gramStart"/>
      <w:r>
        <w:rPr>
          <w:b/>
          <w:color w:val="000000"/>
        </w:rPr>
        <w:t>] ;</w:t>
      </w:r>
      <w:proofErr w:type="gramEnd"/>
    </w:p>
    <w:p w:rsidR="00305180" w:rsidRDefault="00305180">
      <w:pPr>
        <w:autoSpaceDE w:val="0"/>
        <w:autoSpaceDN w:val="0"/>
        <w:adjustRightInd w:val="0"/>
        <w:ind w:left="576"/>
        <w:jc w:val="both"/>
        <w:rPr>
          <w:b/>
          <w:color w:val="000000"/>
        </w:rPr>
      </w:pPr>
      <w:r>
        <w:rPr>
          <w:color w:val="000000"/>
        </w:rPr>
        <w:t xml:space="preserve">• Income derived from the disposition of funds of the Grand River Band of Ottawa Indians </w:t>
      </w:r>
      <w:r>
        <w:rPr>
          <w:b/>
          <w:color w:val="000000"/>
        </w:rPr>
        <w:t xml:space="preserve">[Pub. L. 94-540, 90 </w:t>
      </w:r>
      <w:proofErr w:type="gramStart"/>
      <w:r>
        <w:rPr>
          <w:b/>
          <w:color w:val="000000"/>
        </w:rPr>
        <w:t>State</w:t>
      </w:r>
      <w:proofErr w:type="gramEnd"/>
      <w:r>
        <w:rPr>
          <w:b/>
          <w:color w:val="000000"/>
        </w:rPr>
        <w:t xml:space="preserve"> 2503-04];</w:t>
      </w:r>
    </w:p>
    <w:p w:rsidR="00305180" w:rsidRDefault="00305180">
      <w:pPr>
        <w:autoSpaceDE w:val="0"/>
        <w:autoSpaceDN w:val="0"/>
        <w:adjustRightInd w:val="0"/>
        <w:ind w:left="576"/>
        <w:jc w:val="both"/>
        <w:rPr>
          <w:color w:val="000000"/>
        </w:rPr>
      </w:pPr>
      <w:r>
        <w:rPr>
          <w:color w:val="000000"/>
        </w:rPr>
        <w:t xml:space="preserve">• The first $2,000 of per capita shares received from judgment funds awarded by the Indian Claims Commission or the Court of Claims </w:t>
      </w:r>
      <w:r>
        <w:rPr>
          <w:b/>
          <w:color w:val="000000"/>
        </w:rPr>
        <w:t xml:space="preserve">(25 USC 1407-08), </w:t>
      </w:r>
      <w:r>
        <w:rPr>
          <w:color w:val="000000"/>
        </w:rPr>
        <w:t xml:space="preserve">or from funds held in trust for an Indian Tribe by the Secretary of Interior </w:t>
      </w:r>
      <w:r>
        <w:rPr>
          <w:b/>
          <w:color w:val="000000"/>
        </w:rPr>
        <w:t xml:space="preserve">[25 USC 117b, 1407]; </w:t>
      </w:r>
      <w:r>
        <w:rPr>
          <w:color w:val="000000"/>
        </w:rPr>
        <w:t>and</w:t>
      </w:r>
    </w:p>
    <w:p w:rsidR="00305180" w:rsidRDefault="00305180">
      <w:pPr>
        <w:autoSpaceDE w:val="0"/>
        <w:autoSpaceDN w:val="0"/>
        <w:adjustRightInd w:val="0"/>
        <w:ind w:left="576"/>
        <w:jc w:val="both"/>
        <w:rPr>
          <w:b/>
          <w:color w:val="000000"/>
        </w:rPr>
      </w:pPr>
      <w:r>
        <w:rPr>
          <w:color w:val="000000"/>
        </w:rPr>
        <w:t xml:space="preserve">• Amounts of scholarships funded under Title IV of the Higher Education Act of 1965 including awards under the Federal work-study program or under the Bureau of Indian Affairs student assistance programs </w:t>
      </w:r>
      <w:r>
        <w:rPr>
          <w:b/>
          <w:color w:val="000000"/>
        </w:rPr>
        <w:t xml:space="preserve"> 20 USC 1087].</w:t>
      </w:r>
    </w:p>
    <w:p w:rsidR="00305180" w:rsidRDefault="00305180">
      <w:pPr>
        <w:autoSpaceDE w:val="0"/>
        <w:autoSpaceDN w:val="0"/>
        <w:adjustRightInd w:val="0"/>
        <w:ind w:left="864"/>
        <w:jc w:val="both"/>
        <w:rPr>
          <w:color w:val="000000"/>
        </w:rPr>
      </w:pPr>
      <w:r>
        <w:rPr>
          <w:color w:val="000000"/>
        </w:rPr>
        <w:t>— Examples of Title IV programs include but are not limited to: Basic Educational Opportunity Grants (Pell Grants), Supplemental Opportunity Grants, State Student Incentive Grants, College Work Study, and Byrd Scholarships.</w:t>
      </w:r>
    </w:p>
    <w:p w:rsidR="00305180" w:rsidRDefault="00305180">
      <w:pPr>
        <w:autoSpaceDE w:val="0"/>
        <w:autoSpaceDN w:val="0"/>
        <w:adjustRightInd w:val="0"/>
        <w:ind w:left="576"/>
        <w:jc w:val="both"/>
        <w:rPr>
          <w:b/>
          <w:color w:val="000000"/>
        </w:rPr>
      </w:pPr>
      <w:r>
        <w:rPr>
          <w:color w:val="000000"/>
        </w:rPr>
        <w:t xml:space="preserve">• Payments received from programs funded under Title V of the Older Americans Act of 1965 </w:t>
      </w:r>
      <w:r>
        <w:rPr>
          <w:b/>
          <w:color w:val="000000"/>
        </w:rPr>
        <w:t>[42USC 3056 (f)]:</w:t>
      </w:r>
    </w:p>
    <w:p w:rsidR="00305180" w:rsidRDefault="00305180">
      <w:pPr>
        <w:pStyle w:val="BodyText2"/>
        <w:ind w:left="864"/>
        <w:rPr>
          <w:sz w:val="24"/>
        </w:rPr>
      </w:pPr>
      <w:r>
        <w:rPr>
          <w:sz w:val="24"/>
        </w:rPr>
        <w:t xml:space="preserve">         Examples of programs under this act include but are not limited to: Senior Community Services Employment Program (CSEP), National Caucus Center on the Black Aged, National Urban League, Association National Pro Personas </w:t>
      </w:r>
      <w:proofErr w:type="spellStart"/>
      <w:r>
        <w:rPr>
          <w:sz w:val="24"/>
        </w:rPr>
        <w:t>Mayores</w:t>
      </w:r>
      <w:proofErr w:type="spellEnd"/>
      <w:r>
        <w:rPr>
          <w:sz w:val="24"/>
        </w:rPr>
        <w:t>, National Council on Aging, American Association of Retired Persons, National Council on Senior Citizens, and Green Thumb.</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i/>
          <w:color w:val="000000"/>
        </w:rPr>
      </w:pPr>
      <w:r>
        <w:rPr>
          <w:color w:val="000000"/>
        </w:rPr>
        <w:t xml:space="preserve">• </w:t>
      </w:r>
      <w:r>
        <w:rPr>
          <w:i/>
          <w:color w:val="000000"/>
        </w:rPr>
        <w:t>Payments received after January 1, 1989 from the Agent Orange Settlement Fund or any other fund established in the In Re Agent Orange product liability litigation;</w:t>
      </w:r>
    </w:p>
    <w:p w:rsidR="00305180" w:rsidRDefault="00305180">
      <w:pPr>
        <w:autoSpaceDE w:val="0"/>
        <w:autoSpaceDN w:val="0"/>
        <w:adjustRightInd w:val="0"/>
        <w:ind w:left="864"/>
        <w:jc w:val="both"/>
        <w:rPr>
          <w:i/>
          <w:color w:val="000000"/>
        </w:rPr>
      </w:pPr>
      <w:r>
        <w:rPr>
          <w:color w:val="000000"/>
        </w:rPr>
        <w:t xml:space="preserve">• </w:t>
      </w:r>
      <w:r>
        <w:rPr>
          <w:i/>
          <w:color w:val="000000"/>
        </w:rPr>
        <w:t xml:space="preserve">Payments received under the Maine Indian Claims Settlement Act of 1980 </w:t>
      </w:r>
      <w:r>
        <w:rPr>
          <w:b/>
          <w:i/>
          <w:color w:val="000000"/>
        </w:rPr>
        <w:t>(Pub. L. 96-420, 94 Stat. 1785)</w:t>
      </w:r>
      <w:r>
        <w:rPr>
          <w:i/>
          <w:color w:val="000000"/>
        </w:rPr>
        <w:t>;</w:t>
      </w:r>
    </w:p>
    <w:p w:rsidR="00305180" w:rsidRDefault="00305180">
      <w:pPr>
        <w:autoSpaceDE w:val="0"/>
        <w:autoSpaceDN w:val="0"/>
        <w:adjustRightInd w:val="0"/>
        <w:ind w:left="864"/>
        <w:jc w:val="both"/>
        <w:rPr>
          <w:i/>
          <w:color w:val="000000"/>
        </w:rPr>
      </w:pPr>
      <w:r>
        <w:rPr>
          <w:color w:val="000000"/>
        </w:rPr>
        <w:t xml:space="preserve">• </w:t>
      </w:r>
      <w:r>
        <w:rPr>
          <w:i/>
          <w:color w:val="000000"/>
        </w:rPr>
        <w:t xml:space="preserve">The value of any child care provided or arranged (or any amount received as payment for such care or reimbursement for costs incurred for such care) under the Child Care and Development Block Grant Act of 1990 </w:t>
      </w:r>
      <w:r>
        <w:rPr>
          <w:b/>
          <w:i/>
          <w:color w:val="000000"/>
        </w:rPr>
        <w:t>(42 USC 9858q)</w:t>
      </w:r>
      <w:r>
        <w:rPr>
          <w:i/>
          <w:color w:val="000000"/>
        </w:rPr>
        <w:t>;</w:t>
      </w:r>
    </w:p>
    <w:p w:rsidR="00305180" w:rsidRDefault="00305180">
      <w:pPr>
        <w:autoSpaceDE w:val="0"/>
        <w:autoSpaceDN w:val="0"/>
        <w:adjustRightInd w:val="0"/>
        <w:ind w:left="864"/>
        <w:jc w:val="both"/>
        <w:rPr>
          <w:b/>
          <w:i/>
          <w:color w:val="000000"/>
        </w:rPr>
      </w:pPr>
      <w:r>
        <w:rPr>
          <w:color w:val="000000"/>
        </w:rPr>
        <w:t xml:space="preserve">• </w:t>
      </w:r>
      <w:r>
        <w:rPr>
          <w:i/>
          <w:color w:val="000000"/>
        </w:rPr>
        <w:t xml:space="preserve">Earned income tax credit refund payments received on or after January 1, 1991 </w:t>
      </w:r>
      <w:r>
        <w:rPr>
          <w:b/>
          <w:i/>
          <w:color w:val="000000"/>
        </w:rPr>
        <w:t>(26 USC 32 (j)).</w:t>
      </w:r>
    </w:p>
    <w:p w:rsidR="00305180" w:rsidRDefault="00305180">
      <w:pPr>
        <w:autoSpaceDE w:val="0"/>
        <w:autoSpaceDN w:val="0"/>
        <w:adjustRightInd w:val="0"/>
        <w:ind w:left="864"/>
        <w:jc w:val="both"/>
        <w:rPr>
          <w:i/>
          <w:color w:val="000000"/>
        </w:rPr>
      </w:pPr>
      <w:r>
        <w:rPr>
          <w:color w:val="000000"/>
        </w:rPr>
        <w:t xml:space="preserve">• </w:t>
      </w:r>
      <w:r>
        <w:rPr>
          <w:i/>
          <w:color w:val="000000"/>
        </w:rPr>
        <w:t>Payments by the Indian Claims Commission to the Confederated Tribes and Bands of Yakima Indian Nation or the Apache Tribe of Mescalero Reservation;</w:t>
      </w:r>
    </w:p>
    <w:p w:rsidR="00305180" w:rsidRDefault="00305180">
      <w:pPr>
        <w:autoSpaceDE w:val="0"/>
        <w:autoSpaceDN w:val="0"/>
        <w:adjustRightInd w:val="0"/>
        <w:ind w:left="864"/>
        <w:jc w:val="both"/>
        <w:rPr>
          <w:i/>
          <w:color w:val="000000"/>
        </w:rPr>
      </w:pPr>
      <w:r>
        <w:rPr>
          <w:color w:val="000000"/>
        </w:rPr>
        <w:t xml:space="preserve">• </w:t>
      </w:r>
      <w:r>
        <w:rPr>
          <w:i/>
          <w:color w:val="000000"/>
        </w:rPr>
        <w:t>Allowances, earnings and payments to AmeriCorps participants under the National and Community Service Act of 1990;</w:t>
      </w:r>
    </w:p>
    <w:p w:rsidR="00305180" w:rsidRDefault="00305180">
      <w:pPr>
        <w:autoSpaceDE w:val="0"/>
        <w:autoSpaceDN w:val="0"/>
        <w:adjustRightInd w:val="0"/>
        <w:jc w:val="both"/>
        <w:rPr>
          <w:i/>
          <w:color w:val="000000"/>
        </w:rPr>
      </w:pPr>
    </w:p>
    <w:p w:rsidR="00305180" w:rsidRDefault="00305180">
      <w:pPr>
        <w:autoSpaceDE w:val="0"/>
        <w:autoSpaceDN w:val="0"/>
        <w:adjustRightInd w:val="0"/>
        <w:jc w:val="both"/>
        <w:rPr>
          <w:b/>
          <w:color w:val="000000"/>
        </w:rPr>
      </w:pPr>
      <w:r>
        <w:rPr>
          <w:b/>
          <w:color w:val="000000"/>
        </w:rPr>
        <w:t>Anticipating Annual Income</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 xml:space="preserve">If it is not feasible to anticipate income for a 12-month period, the Authority may use the annualized income anticipated for a shorter period, subject to an Interim Adjustment at the end of the shorter period. (This method </w:t>
      </w:r>
      <w:r>
        <w:rPr>
          <w:color w:val="000000"/>
        </w:rPr>
        <w:lastRenderedPageBreak/>
        <w:t>would be used for teachers who are only paid for 9 months, or for tenants receiving unemployment compensation.)</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b/>
          <w:color w:val="000000"/>
        </w:rPr>
      </w:pPr>
      <w:r>
        <w:rPr>
          <w:b/>
          <w:color w:val="000000"/>
        </w:rPr>
        <w:t>Adjusted Income</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Adjusted Income (the income upon which rent is based) means Annual Income less the following deductions and exemptions:</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For All Families</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u w:val="single"/>
        </w:rPr>
        <w:t>Child Care Expenses</w:t>
      </w:r>
      <w:r>
        <w:rPr>
          <w:b/>
          <w:color w:val="000000"/>
        </w:rPr>
        <w:t xml:space="preserve"> — </w:t>
      </w:r>
      <w:r>
        <w:rPr>
          <w:color w:val="000000"/>
        </w:rPr>
        <w:t>A deduction of amounts anticipated to be paid by the family for the care of children under 13 years of age for the period for which Annual Income is computed, BUT ONLY when such care is necessary to enable a family member to be gainfully employed, to seek employment or to further his/her education. Amounts deducted must be unreimbursed expenses and shall not exceed: (a) the amount of income earned by the family member released to work; or (b) an amount determined to be reasonable by HADCO when the expense is incurred to permit education or to seek employment.</w:t>
      </w:r>
    </w:p>
    <w:p w:rsidR="00305180" w:rsidRDefault="00305180">
      <w:pPr>
        <w:autoSpaceDE w:val="0"/>
        <w:autoSpaceDN w:val="0"/>
        <w:adjustRightInd w:val="0"/>
        <w:jc w:val="both"/>
        <w:rPr>
          <w:color w:val="000000"/>
        </w:rPr>
      </w:pPr>
      <w:r>
        <w:rPr>
          <w:color w:val="000000"/>
          <w:u w:val="single"/>
        </w:rPr>
        <w:t>Dependent Deduction</w:t>
      </w:r>
      <w:r>
        <w:rPr>
          <w:b/>
          <w:color w:val="000000"/>
        </w:rPr>
        <w:t xml:space="preserve"> — </w:t>
      </w:r>
      <w:r>
        <w:rPr>
          <w:color w:val="000000"/>
        </w:rPr>
        <w:t>An exemption of $480 for each member of the family residing in the household (other than the head of household, or spouse, Live-in Aide, foster adult or foster child) who is under eighteen years of age or who is eighteen years of age or older and disabled, or a full-time student.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u w:val="single"/>
        </w:rPr>
        <w:t>Work-related Disability Expenses</w:t>
      </w:r>
      <w:r>
        <w:rPr>
          <w:b/>
          <w:color w:val="000000"/>
        </w:rPr>
        <w:t xml:space="preserve"> — </w:t>
      </w:r>
      <w:proofErr w:type="gramStart"/>
      <w:r>
        <w:rPr>
          <w:color w:val="000000"/>
        </w:rPr>
        <w:t>A</w:t>
      </w:r>
      <w:proofErr w:type="gramEnd"/>
      <w:r>
        <w:rPr>
          <w:color w:val="000000"/>
        </w:rPr>
        <w:t xml:space="preserve"> deduction of unreimbursed amounts paid for attendant care or auxiliary apparatus expenses for family members with disabilities where such expenses are necessary to permit a family member(s), including the disabled member, to be employed. In no event may the amount of the deduction exceed the employment income earned by the family member(s) freed to work. Equipment and auxiliary apparatus may include but are not limited to: wheelchairs, lifts, reading devices for the visually impaired, and equipment added to cars and vans to permit their use by the disabled family member. Also included would be the annualized cost differential between a car and the cost of a van required by the family member with disabilities. </w:t>
      </w:r>
    </w:p>
    <w:p w:rsidR="00305180" w:rsidRDefault="00305180">
      <w:pPr>
        <w:autoSpaceDE w:val="0"/>
        <w:autoSpaceDN w:val="0"/>
        <w:adjustRightInd w:val="0"/>
        <w:jc w:val="both"/>
        <w:rPr>
          <w:color w:val="000000"/>
        </w:rPr>
      </w:pPr>
    </w:p>
    <w:p w:rsidR="00305180" w:rsidRDefault="00305180">
      <w:pPr>
        <w:pStyle w:val="BodyTextIndent"/>
        <w:rPr>
          <w:sz w:val="24"/>
        </w:rPr>
      </w:pPr>
      <w:r>
        <w:rPr>
          <w:sz w:val="24"/>
        </w:rPr>
        <w:t>a. For non-elderly families and elderly or disabled families without medical expenses: the amount of the deduction equals the cost of all unreimbursed expenses for work-related disability expense less three percent of Annual Income, provided the amount so calculated does not exceed the employment income earned.</w:t>
      </w:r>
    </w:p>
    <w:p w:rsidR="00305180" w:rsidRDefault="00305180">
      <w:pPr>
        <w:pStyle w:val="BodyTextIndent"/>
        <w:rPr>
          <w:sz w:val="24"/>
        </w:rPr>
      </w:pPr>
    </w:p>
    <w:p w:rsidR="00305180" w:rsidRDefault="00305180">
      <w:pPr>
        <w:autoSpaceDE w:val="0"/>
        <w:autoSpaceDN w:val="0"/>
        <w:adjustRightInd w:val="0"/>
        <w:ind w:left="864"/>
        <w:jc w:val="both"/>
        <w:rPr>
          <w:color w:val="000000"/>
        </w:rPr>
      </w:pPr>
      <w:r>
        <w:rPr>
          <w:color w:val="000000"/>
        </w:rPr>
        <w:t>b. For elderly or disabled families with medical expenses: the amount of the deduction equals the cost of all unreimbursed expenses for work-related disability expense less three percent of Annual Income (provided the amount so calculated does not exceed the employment income earned) PLUS medical expenses as defined below.</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jc w:val="both"/>
        <w:rPr>
          <w:b/>
          <w:color w:val="000000"/>
          <w:u w:val="single"/>
        </w:rPr>
      </w:pPr>
      <w:r>
        <w:rPr>
          <w:b/>
          <w:color w:val="000000"/>
          <w:u w:val="single"/>
        </w:rPr>
        <w:t>For elderly and disabled families only:</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u w:val="single"/>
        </w:rPr>
        <w:t>Medical Expense Deduction</w:t>
      </w:r>
      <w:r>
        <w:rPr>
          <w:b/>
          <w:color w:val="000000"/>
        </w:rPr>
        <w:t xml:space="preserve"> — </w:t>
      </w:r>
      <w:r>
        <w:rPr>
          <w:color w:val="000000"/>
        </w:rPr>
        <w:t xml:space="preserve">A deduction of unreimbursed Medical Expenses, including insurance premiums, anticipated for the period for which Annual Income is computed.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 xml:space="preserve">Medical expenses include but are not limited to: services of physicians and other health care professionals, services of health care facilities, health insurance premiums (including the cost of Medicare), prescription and non-prescription medicines, transportation to and from treatment, dental expenses, eyeglasses, hearing aids and batteries, attendant care (unrelated to employment of family members), and payments on accumulated medical </w:t>
      </w:r>
      <w:r>
        <w:rPr>
          <w:color w:val="000000"/>
        </w:rPr>
        <w:lastRenderedPageBreak/>
        <w:t>bills. To be considered by HADCO for the purpose of determining a deduction from income, the expenses claimed must be verifiable.</w:t>
      </w:r>
    </w:p>
    <w:p w:rsidR="00305180" w:rsidRDefault="00305180">
      <w:pPr>
        <w:autoSpaceDE w:val="0"/>
        <w:autoSpaceDN w:val="0"/>
        <w:adjustRightInd w:val="0"/>
        <w:jc w:val="both"/>
        <w:rPr>
          <w:color w:val="000000"/>
        </w:rPr>
      </w:pPr>
    </w:p>
    <w:p w:rsidR="00305180" w:rsidRDefault="00305180">
      <w:pPr>
        <w:pStyle w:val="BodyTextIndent"/>
        <w:numPr>
          <w:ilvl w:val="0"/>
          <w:numId w:val="14"/>
        </w:numPr>
        <w:rPr>
          <w:sz w:val="24"/>
        </w:rPr>
      </w:pPr>
      <w:r>
        <w:rPr>
          <w:sz w:val="24"/>
        </w:rPr>
        <w:t>For elderly or disabled families without work-related disability expenses: The amount of the deduction shall equal total medical expenses less three percent of annual income.</w:t>
      </w:r>
    </w:p>
    <w:p w:rsidR="00305180" w:rsidRDefault="00305180">
      <w:pPr>
        <w:autoSpaceDE w:val="0"/>
        <w:autoSpaceDN w:val="0"/>
        <w:adjustRightInd w:val="0"/>
        <w:ind w:left="864"/>
        <w:jc w:val="both"/>
        <w:rPr>
          <w:color w:val="000000"/>
        </w:rPr>
      </w:pPr>
    </w:p>
    <w:p w:rsidR="00305180" w:rsidRDefault="00305180">
      <w:pPr>
        <w:autoSpaceDE w:val="0"/>
        <w:autoSpaceDN w:val="0"/>
        <w:adjustRightInd w:val="0"/>
        <w:ind w:left="864"/>
        <w:jc w:val="both"/>
        <w:rPr>
          <w:color w:val="000000"/>
        </w:rPr>
      </w:pPr>
      <w:proofErr w:type="gramStart"/>
      <w:r>
        <w:rPr>
          <w:color w:val="000000"/>
        </w:rPr>
        <w:t>b</w:t>
      </w:r>
      <w:proofErr w:type="gramEnd"/>
      <w:r>
        <w:rPr>
          <w:color w:val="000000"/>
        </w:rPr>
        <w:t>. For elderly or disabled families with both work-related disability expenses and medical expenses: the amount of the deduction is calculated as described in paragraph 3 (b) above.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u w:val="single"/>
        </w:rPr>
        <w:t>Elderly/Disabled Household Exemption</w:t>
      </w:r>
      <w:r>
        <w:rPr>
          <w:b/>
          <w:color w:val="000000"/>
          <w:u w:val="single"/>
        </w:rPr>
        <w:t xml:space="preserve"> </w:t>
      </w:r>
      <w:r>
        <w:rPr>
          <w:color w:val="000000"/>
        </w:rPr>
        <w:t xml:space="preserve">— </w:t>
      </w:r>
      <w:proofErr w:type="gramStart"/>
      <w:r>
        <w:rPr>
          <w:color w:val="000000"/>
        </w:rPr>
        <w:t>An</w:t>
      </w:r>
      <w:proofErr w:type="gramEnd"/>
      <w:r>
        <w:rPr>
          <w:color w:val="000000"/>
        </w:rPr>
        <w:t xml:space="preserve"> exemption of $400 per household. </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u w:val="single"/>
        </w:rPr>
        <w:t>Optional Deductions/Exemptions</w:t>
      </w:r>
      <w:r>
        <w:rPr>
          <w:color w:val="000000"/>
        </w:rPr>
        <w:t>: HADCO may amend this policy and grant further deductions. Any</w:t>
      </w:r>
    </w:p>
    <w:p w:rsidR="00305180" w:rsidRDefault="00305180">
      <w:pPr>
        <w:autoSpaceDE w:val="0"/>
        <w:autoSpaceDN w:val="0"/>
        <w:adjustRightInd w:val="0"/>
        <w:jc w:val="both"/>
        <w:rPr>
          <w:color w:val="000000"/>
        </w:rPr>
      </w:pPr>
      <w:proofErr w:type="gramStart"/>
      <w:r>
        <w:rPr>
          <w:color w:val="000000"/>
        </w:rPr>
        <w:t>such</w:t>
      </w:r>
      <w:proofErr w:type="gramEnd"/>
      <w:r>
        <w:rPr>
          <w:color w:val="000000"/>
        </w:rPr>
        <w:t xml:space="preserve"> deduction would be noted here.</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Computing Rent</w:t>
      </w:r>
    </w:p>
    <w:p w:rsidR="00305180" w:rsidRDefault="00305180">
      <w:pPr>
        <w:autoSpaceDE w:val="0"/>
        <w:autoSpaceDN w:val="0"/>
        <w:adjustRightInd w:val="0"/>
        <w:jc w:val="both"/>
        <w:rPr>
          <w:b/>
          <w:color w:val="000000"/>
        </w:rPr>
      </w:pPr>
    </w:p>
    <w:p w:rsidR="00305180" w:rsidRDefault="00305180">
      <w:pPr>
        <w:autoSpaceDE w:val="0"/>
        <w:autoSpaceDN w:val="0"/>
        <w:adjustRightInd w:val="0"/>
        <w:jc w:val="both"/>
        <w:rPr>
          <w:color w:val="000000"/>
        </w:rPr>
      </w:pPr>
      <w:r>
        <w:rPr>
          <w:color w:val="000000"/>
        </w:rPr>
        <w:t>The first step in computing rent is to determine each family’s Total Tenant Payment. Then, if the family is occupying a unit that has tenant-paid utilities, the Utility Allowance is subtracted from the Total Tenant Payment. The result of this computation, if a positive number, is the Tenant Rent. If the Total Tenant Payment less the Utility Allowance is a negative number, the result is the utility reimbursement, which may be paid to the tenant or, directly to the utility company by the HADCO.</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b/>
          <w:color w:val="000000"/>
        </w:rPr>
      </w:pPr>
      <w:r>
        <w:rPr>
          <w:b/>
          <w:color w:val="000000"/>
        </w:rPr>
        <w:t>Total Tenant Payment is the highest of:</w:t>
      </w:r>
    </w:p>
    <w:p w:rsidR="00305180" w:rsidRDefault="00305180">
      <w:pPr>
        <w:autoSpaceDE w:val="0"/>
        <w:autoSpaceDN w:val="0"/>
        <w:adjustRightInd w:val="0"/>
        <w:ind w:left="864"/>
        <w:jc w:val="both"/>
        <w:rPr>
          <w:color w:val="000000"/>
        </w:rPr>
      </w:pPr>
      <w:r>
        <w:rPr>
          <w:color w:val="000000"/>
        </w:rPr>
        <w:t xml:space="preserve">• </w:t>
      </w:r>
      <w:r>
        <w:rPr>
          <w:b/>
          <w:color w:val="000000"/>
        </w:rPr>
        <w:t>30% of adjusted monthly income</w:t>
      </w:r>
      <w:r>
        <w:rPr>
          <w:color w:val="000000"/>
        </w:rPr>
        <w:t>; or</w:t>
      </w:r>
    </w:p>
    <w:p w:rsidR="00305180" w:rsidRDefault="00305180">
      <w:pPr>
        <w:autoSpaceDE w:val="0"/>
        <w:autoSpaceDN w:val="0"/>
        <w:adjustRightInd w:val="0"/>
        <w:ind w:left="864"/>
        <w:jc w:val="both"/>
        <w:rPr>
          <w:color w:val="000000"/>
        </w:rPr>
      </w:pPr>
      <w:r>
        <w:rPr>
          <w:color w:val="000000"/>
        </w:rPr>
        <w:t xml:space="preserve">• </w:t>
      </w:r>
      <w:r>
        <w:rPr>
          <w:b/>
          <w:color w:val="000000"/>
        </w:rPr>
        <w:t xml:space="preserve">10% of monthly income; </w:t>
      </w:r>
      <w:r>
        <w:rPr>
          <w:color w:val="000000"/>
        </w:rPr>
        <w:t>but never less than the</w:t>
      </w:r>
    </w:p>
    <w:p w:rsidR="00305180" w:rsidRDefault="00305180">
      <w:pPr>
        <w:autoSpaceDE w:val="0"/>
        <w:autoSpaceDN w:val="0"/>
        <w:adjustRightInd w:val="0"/>
        <w:ind w:left="864"/>
        <w:jc w:val="both"/>
        <w:rPr>
          <w:color w:val="000000"/>
        </w:rPr>
      </w:pPr>
      <w:r>
        <w:rPr>
          <w:color w:val="000000"/>
        </w:rPr>
        <w:t xml:space="preserve">• </w:t>
      </w:r>
      <w:r>
        <w:rPr>
          <w:b/>
          <w:color w:val="000000"/>
        </w:rPr>
        <w:t>Minimum Rent</w:t>
      </w:r>
      <w:r>
        <w:rPr>
          <w:color w:val="000000"/>
        </w:rPr>
        <w:t>; and never more than the</w:t>
      </w:r>
    </w:p>
    <w:p w:rsidR="00305180" w:rsidRDefault="00305180">
      <w:pPr>
        <w:autoSpaceDE w:val="0"/>
        <w:autoSpaceDN w:val="0"/>
        <w:adjustRightInd w:val="0"/>
        <w:ind w:left="864"/>
        <w:jc w:val="both"/>
        <w:rPr>
          <w:b/>
          <w:color w:val="000000"/>
        </w:rPr>
      </w:pPr>
      <w:r>
        <w:rPr>
          <w:color w:val="000000"/>
        </w:rPr>
        <w:t xml:space="preserve">• </w:t>
      </w:r>
      <w:r>
        <w:rPr>
          <w:b/>
          <w:color w:val="000000"/>
        </w:rPr>
        <w:t>Flat Rent, if chosen by the family</w:t>
      </w:r>
    </w:p>
    <w:p w:rsidR="00305180" w:rsidRDefault="00305180">
      <w:pPr>
        <w:autoSpaceDE w:val="0"/>
        <w:autoSpaceDN w:val="0"/>
        <w:adjustRightInd w:val="0"/>
        <w:ind w:left="864"/>
        <w:jc w:val="both"/>
        <w:rPr>
          <w:b/>
          <w:color w:val="000000"/>
        </w:rPr>
      </w:pPr>
    </w:p>
    <w:p w:rsidR="00305180" w:rsidRDefault="00305180">
      <w:pPr>
        <w:autoSpaceDE w:val="0"/>
        <w:autoSpaceDN w:val="0"/>
        <w:adjustRightInd w:val="0"/>
        <w:jc w:val="both"/>
        <w:rPr>
          <w:color w:val="000000"/>
        </w:rPr>
      </w:pPr>
      <w:r>
        <w:rPr>
          <w:color w:val="000000"/>
        </w:rPr>
        <w:t>Tenant rent is computed by subtracting the utility allowance for tenant-supplied utilities (if applicable) from the Total Tenant Payment. In developments where HADCO pays all utility bills directly to the utility supplier, Tenant Rent equals Total Tenant Payment.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HADCO currently has no minimum rent.</w:t>
      </w:r>
    </w:p>
    <w:p w:rsidR="00305180" w:rsidRDefault="00305180">
      <w:pPr>
        <w:autoSpaceDE w:val="0"/>
        <w:autoSpaceDN w:val="0"/>
        <w:adjustRightInd w:val="0"/>
        <w:jc w:val="both"/>
        <w:rPr>
          <w:color w:val="000000"/>
        </w:rPr>
      </w:pPr>
    </w:p>
    <w:p w:rsidR="00305180" w:rsidRDefault="00305180">
      <w:pPr>
        <w:autoSpaceDE w:val="0"/>
        <w:autoSpaceDN w:val="0"/>
        <w:adjustRightInd w:val="0"/>
        <w:jc w:val="both"/>
        <w:rPr>
          <w:color w:val="000000"/>
        </w:rPr>
      </w:pPr>
      <w:r>
        <w:rPr>
          <w:color w:val="000000"/>
        </w:rPr>
        <w:t>At initial certification and at each subsequent annual reexamination the resident shall be offered a choice of paying either the income-based rent or the Flat Rent applicable to the unit they will be occupying.</w:t>
      </w:r>
    </w:p>
    <w:p w:rsidR="00305180" w:rsidRDefault="00305180">
      <w:pPr>
        <w:autoSpaceDE w:val="0"/>
        <w:autoSpaceDN w:val="0"/>
        <w:adjustRightInd w:val="0"/>
        <w:jc w:val="both"/>
        <w:rPr>
          <w:color w:val="000000"/>
        </w:rPr>
      </w:pPr>
    </w:p>
    <w:p w:rsidR="00305180" w:rsidRDefault="00305180">
      <w:pPr>
        <w:pStyle w:val="Heading2"/>
        <w:jc w:val="both"/>
        <w:rPr>
          <w:rFonts w:ascii="Times New Roman" w:hAnsi="Times New Roman"/>
          <w:sz w:val="24"/>
          <w:u w:val="none"/>
        </w:rPr>
      </w:pPr>
      <w:bookmarkStart w:id="30" w:name="_Toc448291555"/>
      <w:bookmarkStart w:id="31" w:name="_Toc448292608"/>
      <w:bookmarkStart w:id="32" w:name="_Toc450967757"/>
      <w:r>
        <w:rPr>
          <w:rFonts w:ascii="Times New Roman" w:hAnsi="Times New Roman"/>
          <w:sz w:val="24"/>
          <w:u w:val="none"/>
        </w:rPr>
        <w:t>Rent for Families under the Non-Citizen Rule</w:t>
      </w:r>
      <w:bookmarkEnd w:id="30"/>
      <w:bookmarkEnd w:id="31"/>
      <w:bookmarkEnd w:id="32"/>
      <w:r>
        <w:rPr>
          <w:rFonts w:ascii="Times New Roman" w:hAnsi="Times New Roman"/>
          <w:sz w:val="24"/>
          <w:u w:val="none"/>
        </w:rPr>
        <w:t xml:space="preserve"> (CFR 5.504)</w:t>
      </w:r>
    </w:p>
    <w:p w:rsidR="00305180" w:rsidRDefault="00305180">
      <w:pPr>
        <w:jc w:val="both"/>
      </w:pPr>
    </w:p>
    <w:p w:rsidR="00305180" w:rsidRDefault="00305180">
      <w:pPr>
        <w:pStyle w:val="Quick1"/>
        <w:numPr>
          <w:ilvl w:val="0"/>
          <w:numId w:val="0"/>
        </w:numPr>
        <w:tabs>
          <w:tab w:val="left" w:pos="-1440"/>
        </w:tabs>
        <w:ind w:left="720" w:hanging="720"/>
        <w:jc w:val="both"/>
      </w:pPr>
      <w:r>
        <w:t>A mixed family will receive full continuation of assistance if all of the following</w:t>
      </w:r>
    </w:p>
    <w:p w:rsidR="00305180" w:rsidRDefault="00305180">
      <w:pPr>
        <w:pStyle w:val="Quick1"/>
        <w:numPr>
          <w:ilvl w:val="0"/>
          <w:numId w:val="0"/>
        </w:numPr>
        <w:tabs>
          <w:tab w:val="left" w:pos="-1440"/>
        </w:tabs>
        <w:ind w:left="720" w:hanging="720"/>
        <w:jc w:val="both"/>
      </w:pPr>
      <w:proofErr w:type="gramStart"/>
      <w:r>
        <w:t>conditions</w:t>
      </w:r>
      <w:proofErr w:type="gramEnd"/>
      <w:r>
        <w:t xml:space="preserve"> are met:</w:t>
      </w:r>
    </w:p>
    <w:p w:rsidR="00305180" w:rsidRDefault="00305180">
      <w:pPr>
        <w:jc w:val="both"/>
      </w:pPr>
    </w:p>
    <w:p w:rsidR="00305180" w:rsidRDefault="00305180">
      <w:pPr>
        <w:pStyle w:val="a"/>
        <w:tabs>
          <w:tab w:val="left" w:pos="-1440"/>
        </w:tabs>
        <w:ind w:left="1440"/>
        <w:jc w:val="both"/>
      </w:pPr>
      <w:r>
        <w:t>A.</w:t>
      </w:r>
      <w:r>
        <w:tab/>
        <w:t>The family was receiving assistance on June 19, 1995;</w:t>
      </w:r>
    </w:p>
    <w:p w:rsidR="00305180" w:rsidRDefault="00305180">
      <w:pPr>
        <w:ind w:left="1440" w:hanging="720"/>
        <w:jc w:val="both"/>
      </w:pPr>
    </w:p>
    <w:p w:rsidR="00305180" w:rsidRDefault="00305180">
      <w:pPr>
        <w:pStyle w:val="Quicka"/>
        <w:numPr>
          <w:ilvl w:val="0"/>
          <w:numId w:val="0"/>
        </w:numPr>
        <w:tabs>
          <w:tab w:val="left" w:pos="-1440"/>
        </w:tabs>
        <w:ind w:left="1440" w:hanging="720"/>
        <w:jc w:val="both"/>
      </w:pPr>
      <w:r>
        <w:t>B.</w:t>
      </w:r>
      <w:r>
        <w:tab/>
        <w:t>The family was granted continuation of assistance before November 29, 1996;</w:t>
      </w:r>
    </w:p>
    <w:p w:rsidR="00305180" w:rsidRDefault="00305180">
      <w:pPr>
        <w:ind w:left="1440" w:hanging="720"/>
        <w:jc w:val="both"/>
      </w:pPr>
    </w:p>
    <w:p w:rsidR="00305180" w:rsidRDefault="00305180">
      <w:pPr>
        <w:pStyle w:val="a"/>
        <w:tabs>
          <w:tab w:val="left" w:pos="-1440"/>
        </w:tabs>
        <w:ind w:left="1440"/>
        <w:jc w:val="both"/>
      </w:pPr>
      <w:r>
        <w:t>C.</w:t>
      </w:r>
      <w:r>
        <w:tab/>
        <w:t>The family's head or spouse has eligible immigration status; and</w:t>
      </w:r>
    </w:p>
    <w:p w:rsidR="00305180" w:rsidRDefault="00305180">
      <w:pPr>
        <w:ind w:left="1440" w:hanging="720"/>
        <w:jc w:val="both"/>
      </w:pPr>
    </w:p>
    <w:p w:rsidR="00305180" w:rsidRDefault="00305180">
      <w:pPr>
        <w:pStyle w:val="a"/>
        <w:tabs>
          <w:tab w:val="left" w:pos="-1440"/>
        </w:tabs>
        <w:ind w:left="1440"/>
        <w:jc w:val="both"/>
      </w:pPr>
      <w:r>
        <w:t>D.</w:t>
      </w:r>
      <w:r>
        <w:tab/>
        <w:t xml:space="preserve">The family does not include any person who does not have eligible status other than the head of household, the spouse of the head of household, any parent of the head or spouse, or any child </w:t>
      </w:r>
      <w:r>
        <w:lastRenderedPageBreak/>
        <w:t>(under the age of 18) of the head or spouse.</w:t>
      </w:r>
    </w:p>
    <w:p w:rsidR="00305180" w:rsidRDefault="00305180">
      <w:pPr>
        <w:jc w:val="both"/>
      </w:pPr>
    </w:p>
    <w:p w:rsidR="00305180" w:rsidRDefault="00305180">
      <w:pPr>
        <w:jc w:val="both"/>
        <w:rPr>
          <w:b/>
        </w:rPr>
      </w:pPr>
    </w:p>
    <w:p w:rsidR="00305180" w:rsidRDefault="00305180">
      <w:pPr>
        <w:jc w:val="both"/>
      </w:pPr>
      <w:r>
        <w:t>The family's assistance is prorated in the following manner:</w:t>
      </w:r>
    </w:p>
    <w:p w:rsidR="00305180" w:rsidRDefault="00305180">
      <w:pPr>
        <w:jc w:val="both"/>
      </w:pPr>
    </w:p>
    <w:p w:rsidR="00305180" w:rsidRDefault="00305180">
      <w:pPr>
        <w:pStyle w:val="a"/>
        <w:tabs>
          <w:tab w:val="left" w:pos="-1440"/>
        </w:tabs>
        <w:ind w:left="1440"/>
        <w:jc w:val="both"/>
      </w:pPr>
      <w:r>
        <w:t>A.</w:t>
      </w:r>
      <w:r>
        <w:tab/>
        <w:t>Determine the 95</w:t>
      </w:r>
      <w:r>
        <w:rPr>
          <w:vertAlign w:val="superscript"/>
        </w:rPr>
        <w:t>th</w:t>
      </w:r>
      <w:r>
        <w:t xml:space="preserve"> percentile of gross rents (tenant rent plus utility allowance) for HADCO. The 95</w:t>
      </w:r>
      <w:r>
        <w:rPr>
          <w:vertAlign w:val="superscript"/>
        </w:rPr>
        <w:t>th</w:t>
      </w:r>
      <w:r>
        <w:t xml:space="preserve"> percentile is called the maximum rent.</w:t>
      </w:r>
    </w:p>
    <w:p w:rsidR="00305180" w:rsidRDefault="00305180">
      <w:pPr>
        <w:ind w:left="1440" w:hanging="720"/>
        <w:jc w:val="both"/>
      </w:pPr>
    </w:p>
    <w:p w:rsidR="00305180" w:rsidRDefault="00305180">
      <w:pPr>
        <w:pStyle w:val="a"/>
        <w:tabs>
          <w:tab w:val="left" w:pos="-1440"/>
        </w:tabs>
        <w:ind w:left="1440"/>
        <w:jc w:val="both"/>
      </w:pPr>
      <w:r>
        <w:t>B.</w:t>
      </w:r>
      <w:r>
        <w:tab/>
        <w:t>Subtract the family's total tenant payment from the maximum rent. The resulting number is called the maximum subsidy.</w:t>
      </w:r>
    </w:p>
    <w:p w:rsidR="00305180" w:rsidRDefault="00305180">
      <w:pPr>
        <w:ind w:left="1440" w:hanging="720"/>
        <w:jc w:val="both"/>
      </w:pPr>
    </w:p>
    <w:p w:rsidR="00305180" w:rsidRDefault="00305180">
      <w:pPr>
        <w:pStyle w:val="a"/>
        <w:tabs>
          <w:tab w:val="left" w:pos="-1440"/>
        </w:tabs>
        <w:ind w:left="1440"/>
        <w:jc w:val="both"/>
      </w:pPr>
      <w:r>
        <w:t>C.</w:t>
      </w:r>
      <w:r>
        <w:tab/>
        <w:t>Divide the maximum subsidy by the number of family members and multiply the result times the number of eligible family members. This yields the prorated subsidy.</w:t>
      </w:r>
    </w:p>
    <w:p w:rsidR="00305180" w:rsidRDefault="00305180">
      <w:pPr>
        <w:ind w:left="1440" w:hanging="720"/>
        <w:jc w:val="both"/>
      </w:pPr>
    </w:p>
    <w:p w:rsidR="00305180" w:rsidRDefault="00305180">
      <w:pPr>
        <w:tabs>
          <w:tab w:val="left" w:pos="0"/>
        </w:tabs>
        <w:ind w:left="1440" w:hanging="720"/>
        <w:jc w:val="both"/>
      </w:pPr>
      <w:r>
        <w:t>D.</w:t>
      </w:r>
      <w:r>
        <w:tab/>
        <w:t>Subtract the prorated subsidy from the maximum rent to find the prorated total tenant payment. From this amount subtract the full utility allowance to obtain the prorated tenant rent.</w:t>
      </w:r>
    </w:p>
    <w:p w:rsidR="00305180" w:rsidRDefault="00305180">
      <w:pPr>
        <w:jc w:val="both"/>
      </w:pPr>
    </w:p>
    <w:p w:rsidR="00305180" w:rsidRDefault="00305180">
      <w:pPr>
        <w:jc w:val="both"/>
      </w:pPr>
    </w:p>
    <w:p w:rsidR="00305180" w:rsidRDefault="00305180">
      <w:pPr>
        <w:jc w:val="both"/>
      </w:pPr>
    </w:p>
    <w:p w:rsidR="00305180" w:rsidRDefault="00305180">
      <w:pPr>
        <w:jc w:val="both"/>
      </w:pPr>
    </w:p>
    <w:p w:rsidR="00305180" w:rsidRDefault="00305180">
      <w:pPr>
        <w:jc w:val="both"/>
      </w:pPr>
      <w:r>
        <w:t>Appendix A</w:t>
      </w:r>
    </w:p>
    <w:p w:rsidR="00305180" w:rsidRDefault="00305180">
      <w:pPr>
        <w:jc w:val="both"/>
      </w:pPr>
    </w:p>
    <w:p w:rsidR="00305180" w:rsidRDefault="00305180">
      <w:pPr>
        <w:pStyle w:val="NormalWeb"/>
      </w:pPr>
      <w:r>
        <w:t xml:space="preserve">a) </w:t>
      </w:r>
      <w:r>
        <w:rPr>
          <w:i/>
          <w:iCs/>
        </w:rPr>
        <w:t xml:space="preserve">Annual income </w:t>
      </w:r>
      <w:r>
        <w:t>means all amounts, monetary or not, which:</w:t>
      </w:r>
    </w:p>
    <w:p w:rsidR="00305180" w:rsidRDefault="00305180">
      <w:pPr>
        <w:pStyle w:val="NormalWeb"/>
      </w:pPr>
      <w:r>
        <w:t>(1) Go to, or on behalf of, the family head or spouse (even if temporarily absent) or to any other family member; or</w:t>
      </w:r>
    </w:p>
    <w:p w:rsidR="00305180" w:rsidRDefault="00305180">
      <w:pPr>
        <w:pStyle w:val="NormalWeb"/>
      </w:pPr>
      <w:r>
        <w:t>(2) Are anticipated to be received from a source outside the family during the 12-month period following admission or annual reexamination effective date; and</w:t>
      </w:r>
    </w:p>
    <w:p w:rsidR="00305180" w:rsidRDefault="00305180">
      <w:pPr>
        <w:pStyle w:val="NormalWeb"/>
      </w:pPr>
      <w:r>
        <w:t xml:space="preserve">(3) Which are not specifically excluded in paragraph (c) of this </w:t>
      </w:r>
      <w:proofErr w:type="gramStart"/>
      <w:r>
        <w:t>section.</w:t>
      </w:r>
      <w:proofErr w:type="gramEnd"/>
    </w:p>
    <w:p w:rsidR="00305180" w:rsidRDefault="00305180">
      <w:pPr>
        <w:pStyle w:val="NormalWeb"/>
      </w:pPr>
      <w:r>
        <w:t>(4) Annual income also means amounts derived (during the 12-month period) from assets to which any member of the family has access.</w:t>
      </w:r>
    </w:p>
    <w:p w:rsidR="00305180" w:rsidRDefault="00305180">
      <w:pPr>
        <w:pStyle w:val="NormalWeb"/>
      </w:pPr>
      <w:r>
        <w:t>(b) Annual income includes, but is not limited to:</w:t>
      </w:r>
    </w:p>
    <w:p w:rsidR="00305180" w:rsidRDefault="00305180">
      <w:pPr>
        <w:pStyle w:val="NormalWeb"/>
      </w:pPr>
      <w:r>
        <w:t>(1) The full amount, before any payroll deductions, of wages and salaries, overtime pay, commissions, fees, tips and bonuses, and other compensation for personal services;</w:t>
      </w:r>
    </w:p>
    <w:p w:rsidR="00305180" w:rsidRDefault="00305180">
      <w:pPr>
        <w:pStyle w:val="NormalWeb"/>
      </w:pPr>
      <w:r>
        <w:t>(2) The 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 line depreciation, as provided in Internal Revenue Service regulations. Any withdrawal of cash or assets from the operation of a business or profession will be included in income, except to the extent the withdrawal is reimbursement of cash or assets invested in the operation by the family;</w:t>
      </w:r>
    </w:p>
    <w:p w:rsidR="00305180" w:rsidRDefault="00305180">
      <w:pPr>
        <w:pStyle w:val="NormalWeb"/>
      </w:pPr>
      <w:r>
        <w:t xml:space="preserve">(3) Interest, dividends, and other net income of any kind from real or personal property. Expenditures for amortization of capital indebtedness shall not be used as deductions in determining net income. An allowance </w:t>
      </w:r>
      <w:r>
        <w:lastRenderedPageBreak/>
        <w:t>for depreciation is permitted only as authorized in paragraph (b</w:t>
      </w:r>
      <w:proofErr w:type="gramStart"/>
      <w:r>
        <w:t>)(</w:t>
      </w:r>
      <w:proofErr w:type="gramEnd"/>
      <w:r>
        <w:t xml:space="preserve">2) of this section. Any withdrawal of cash or assets from an investment will be included in income, except to the extent the withdrawal is reimbursement of cash or assets invested by the family. Where the family has net family assets in excess of $5,000, annual income shall </w:t>
      </w:r>
      <w:r w:rsidR="000D5A3F">
        <w:t>be</w:t>
      </w:r>
      <w:r>
        <w:t xml:space="preserve"> the actual income der</w:t>
      </w:r>
      <w:r w:rsidR="000D5A3F">
        <w:t>ived from all net family assets. HADCO has adopted a 0% passbook rate pursuant to 24 CFR 5.609 (b</w:t>
      </w:r>
      <w:proofErr w:type="gramStart"/>
      <w:r w:rsidR="000D5A3F">
        <w:t>)(</w:t>
      </w:r>
      <w:proofErr w:type="gramEnd"/>
      <w:r w:rsidR="000D5A3F">
        <w:t xml:space="preserve">3).  HADCO reviews the Savings National Rate (passbook rate) annually. </w:t>
      </w:r>
    </w:p>
    <w:p w:rsidR="00305180" w:rsidRDefault="00305180">
      <w:pPr>
        <w:pStyle w:val="NormalWeb"/>
      </w:pPr>
      <w:r>
        <w:t>(4) The full amount of periodic amounts received from Social Security, annuities, insurance policies, retirement funds, pensions, disability or death benefits, and other similar types of periodic receipts, including a lump-sum amount or prospective monthly amounts for the delayed start of a periodic amount (except as provided in paragraph (c)(14) of this section);</w:t>
      </w:r>
    </w:p>
    <w:p w:rsidR="00305180" w:rsidRDefault="00305180">
      <w:pPr>
        <w:pStyle w:val="NormalWeb"/>
      </w:pPr>
      <w:r>
        <w:t>(5) Payments in lieu of earnings, such as unemployment and disability compensation, worker's compensation and severance pay (except as provided in paragraph (c)(3) of this section);</w:t>
      </w:r>
    </w:p>
    <w:p w:rsidR="00305180" w:rsidRDefault="00305180">
      <w:pPr>
        <w:pStyle w:val="NormalWeb"/>
      </w:pPr>
      <w:r>
        <w:t xml:space="preserve">(6) </w:t>
      </w:r>
      <w:r>
        <w:rPr>
          <w:i/>
          <w:iCs/>
        </w:rPr>
        <w:t xml:space="preserve">Welfare assistance payments. </w:t>
      </w:r>
      <w:r>
        <w:t>(</w:t>
      </w:r>
      <w:proofErr w:type="spellStart"/>
      <w:r>
        <w:t>i</w:t>
      </w:r>
      <w:proofErr w:type="spellEnd"/>
      <w:r>
        <w:t>) Welfare assistance payments made under the Temporary Assistance for Needy Families (TANF) program are included in annual income only to the extent such payments:</w:t>
      </w:r>
    </w:p>
    <w:p w:rsidR="00305180" w:rsidRDefault="00305180">
      <w:pPr>
        <w:pStyle w:val="NormalWeb"/>
      </w:pPr>
      <w:r>
        <w:t>(A) Qualify as assistance under the TANF program definition at 45 CFR 260.31; and</w:t>
      </w:r>
    </w:p>
    <w:p w:rsidR="00305180" w:rsidRDefault="00305180">
      <w:pPr>
        <w:pStyle w:val="NormalWeb"/>
      </w:pPr>
      <w:r>
        <w:t>(B) Are not otherwise excluded under paragraph (c) of this section.</w:t>
      </w:r>
    </w:p>
    <w:p w:rsidR="00305180" w:rsidRDefault="00305180">
      <w:pPr>
        <w:pStyle w:val="NormalWeb"/>
      </w:pPr>
      <w:r>
        <w:t>(ii) If the welfare assistance payment includes an amount specifically designated for shelter and utilities that is subject to adjustment by the welfare assistance agency in accordance with the actual cost of shelter and utilities, the amount of welfare assistance income to be included as income shall consist of:</w:t>
      </w:r>
    </w:p>
    <w:p w:rsidR="00305180" w:rsidRDefault="00305180">
      <w:pPr>
        <w:pStyle w:val="NormalWeb"/>
      </w:pPr>
      <w:r>
        <w:t>(A) The amount of the allowance or grant exclusive of the amount specifically designated for shelter or utilities; plus</w:t>
      </w:r>
    </w:p>
    <w:p w:rsidR="00305180" w:rsidRDefault="00305180">
      <w:pPr>
        <w:pStyle w:val="NormalWeb"/>
      </w:pPr>
      <w:r>
        <w:t>(B) The maximum amount that the welfare assistance agency could in fact allow the family for shelter and utilities. If the family's welfare assistance is ratably reduced from the standard of need by applying a percentage, the amount calculated under this paragraph shall be the amount resulting from one application of the percentage.</w:t>
      </w:r>
    </w:p>
    <w:p w:rsidR="00305180" w:rsidRDefault="00305180">
      <w:pPr>
        <w:pStyle w:val="NormalWeb"/>
      </w:pPr>
      <w:r>
        <w:t>(7) Periodic and determinable allowances, such as alimony and child support payments, and regular contributions or gifts received from organizations or from persons not residing in the dwelling;</w:t>
      </w:r>
    </w:p>
    <w:p w:rsidR="00305180" w:rsidRDefault="00305180">
      <w:pPr>
        <w:pStyle w:val="NormalWeb"/>
      </w:pPr>
      <w:r>
        <w:t>(8) All regular pay, special pay and allowances of a member of the Armed Forces (except as provided in paragraph (c</w:t>
      </w:r>
      <w:proofErr w:type="gramStart"/>
      <w:r>
        <w:t>)(</w:t>
      </w:r>
      <w:proofErr w:type="gramEnd"/>
      <w:r>
        <w:t>7) of this section).</w:t>
      </w:r>
    </w:p>
    <w:p w:rsidR="00305180" w:rsidRDefault="00305180">
      <w:pPr>
        <w:pStyle w:val="NormalWeb"/>
      </w:pPr>
      <w:r>
        <w:t xml:space="preserve">(9) For section 8 programs only and as provided in 24 CFR 5.612, any financial assistance, in excess of amounts received for tuition, that an individual receives under the Higher Education Act of 1965 (20 U.S.C. 1001 </w:t>
      </w:r>
      <w:r>
        <w:rPr>
          <w:i/>
          <w:iCs/>
        </w:rPr>
        <w:t xml:space="preserve">et seq. </w:t>
      </w:r>
      <w:r>
        <w:t>), from private sources, or from an institution of higher education (as defined under the Higher Education Act of 1965 (20 U.S.C. 1002)), shall be considered income to that individual, except that financial assistance described in this paragraph is not considered annual income for persons over the age of 23 with dependent children. For purposes of this paragraph, “financial assistance” does not include loan proceeds for the purpose of determining income.</w:t>
      </w:r>
    </w:p>
    <w:p w:rsidR="00305180" w:rsidRDefault="00305180">
      <w:pPr>
        <w:pStyle w:val="NormalWeb"/>
      </w:pPr>
      <w:r>
        <w:t>(c) Annual income does not include the following:</w:t>
      </w:r>
    </w:p>
    <w:p w:rsidR="00305180" w:rsidRDefault="00305180">
      <w:pPr>
        <w:pStyle w:val="NormalWeb"/>
      </w:pPr>
      <w:r>
        <w:lastRenderedPageBreak/>
        <w:t>(1) Income from employment of children (including foster children) under the age of 18 years;</w:t>
      </w:r>
    </w:p>
    <w:p w:rsidR="00305180" w:rsidRDefault="00305180">
      <w:pPr>
        <w:pStyle w:val="NormalWeb"/>
      </w:pPr>
      <w:r>
        <w:t>(2) Payments received for the care of foster children or foster adults (usually persons with disabilities, unrelated to the tenant family, who are unable to live alone);</w:t>
      </w:r>
    </w:p>
    <w:p w:rsidR="00305180" w:rsidRDefault="00305180">
      <w:pPr>
        <w:pStyle w:val="NormalWeb"/>
      </w:pPr>
      <w:r>
        <w:t>(3) Lump-sum additions to family assets, such as inheritances, insurance payments (including payments under health and accident insurance and worker's compensation), capital gains and settlement for personal or property losses (except as provided in paragraph (b)(5) of this section);</w:t>
      </w:r>
    </w:p>
    <w:p w:rsidR="00305180" w:rsidRDefault="00305180">
      <w:pPr>
        <w:pStyle w:val="NormalWeb"/>
      </w:pPr>
      <w:r>
        <w:t>(4) Amounts received by the family that are specifically for, or in reimbursement of, the cost of medical expenses for any family member;</w:t>
      </w:r>
    </w:p>
    <w:p w:rsidR="00305180" w:rsidRDefault="00305180">
      <w:pPr>
        <w:pStyle w:val="NormalWeb"/>
      </w:pPr>
      <w:r>
        <w:t>(5) Income of a live-in aide, as defined in §5.403;</w:t>
      </w:r>
    </w:p>
    <w:p w:rsidR="00305180" w:rsidRDefault="00305180">
      <w:pPr>
        <w:pStyle w:val="NormalWeb"/>
      </w:pPr>
      <w:r>
        <w:t>(6) Subject to paragraph (b</w:t>
      </w:r>
      <w:proofErr w:type="gramStart"/>
      <w:r>
        <w:t>)(</w:t>
      </w:r>
      <w:proofErr w:type="gramEnd"/>
      <w:r>
        <w:t>9) of this section, the full amount of student financial assistance paid directly to the student or to the educational institution;</w:t>
      </w:r>
    </w:p>
    <w:p w:rsidR="00305180" w:rsidRDefault="00305180">
      <w:pPr>
        <w:pStyle w:val="NormalWeb"/>
      </w:pPr>
      <w:r>
        <w:t>(7) The special pay to a family member serving in the Armed Forces who is exposed to hostile fire;</w:t>
      </w:r>
    </w:p>
    <w:p w:rsidR="00305180" w:rsidRDefault="00305180">
      <w:pPr>
        <w:pStyle w:val="NormalWeb"/>
      </w:pPr>
      <w:r>
        <w:t>(8)(</w:t>
      </w:r>
      <w:proofErr w:type="spellStart"/>
      <w:r>
        <w:t>i</w:t>
      </w:r>
      <w:proofErr w:type="spellEnd"/>
      <w:r>
        <w:t>) Amounts received under training programs funded by HUD;</w:t>
      </w:r>
    </w:p>
    <w:p w:rsidR="00305180" w:rsidRDefault="00305180">
      <w:pPr>
        <w:pStyle w:val="NormalWeb"/>
      </w:pPr>
      <w:r>
        <w:t>(ii) Amounts received by a person with a disability that are disregarded for a limited time for purposes of Supplemental Security Income eligibility and benefits because they are set aside for use under a Plan to Attain Self-Sufficiency (PASS);</w:t>
      </w:r>
    </w:p>
    <w:p w:rsidR="00305180" w:rsidRDefault="00305180">
      <w:pPr>
        <w:pStyle w:val="NormalWeb"/>
      </w:pPr>
      <w:r>
        <w:t>(iii) Amounts received by a participant in other publicly assisted programs which are specifically for or in reimbursement of out-of-pocket expenses incurred (special equipment, clothing, transportation, child care, etc.) and which are made solely to allow participation in a specific program;</w:t>
      </w:r>
    </w:p>
    <w:p w:rsidR="00305180" w:rsidRDefault="00305180">
      <w:pPr>
        <w:pStyle w:val="NormalWeb"/>
      </w:pPr>
      <w:proofErr w:type="gramStart"/>
      <w:r>
        <w:t>(iv) Amounts</w:t>
      </w:r>
      <w:proofErr w:type="gramEnd"/>
      <w:r>
        <w:t xml:space="preserve"> received under a resident service stipend. A resident service stipend is a modest amount (not to exceed $200 per month) received by a resident for performing a service for the PHA or owner, on a part-time basis, that enhances the quality of life in the development. Such services may include, but are not limited to, fire patrol, hall monitoring, lawn maintenance, resident initiatives coordination, and serving as a member of the PHA's governing board. No resident may receive more than one such stipend during the same period of time;</w:t>
      </w:r>
    </w:p>
    <w:p w:rsidR="00305180" w:rsidRDefault="00305180">
      <w:pPr>
        <w:pStyle w:val="NormalWeb"/>
      </w:pPr>
      <w:r>
        <w:t>(v) Incremental earnings and benefits resulting to any family member from participation in qualifying State or local employment training programs (including training programs not affiliated with a local government) and training of a family member as resident management staff. Amounts excluded by this provision must be received under employment training programs with clearly defined goals and objectives, and are excluded only for the period during which the family member participates in the employment training program;</w:t>
      </w:r>
    </w:p>
    <w:p w:rsidR="00305180" w:rsidRDefault="00305180">
      <w:pPr>
        <w:pStyle w:val="NormalWeb"/>
      </w:pPr>
      <w:r>
        <w:t>(9) Temporary, nonrecurring or sporadic income (including gifts);</w:t>
      </w:r>
    </w:p>
    <w:p w:rsidR="00305180" w:rsidRDefault="00305180">
      <w:pPr>
        <w:pStyle w:val="NormalWeb"/>
      </w:pPr>
      <w:r>
        <w:t>(10) Reparation payments paid by a foreign government pursuant to claims filed under the laws of that government by persons who were persecuted during the Nazi era;</w:t>
      </w:r>
    </w:p>
    <w:p w:rsidR="00305180" w:rsidRDefault="00305180">
      <w:pPr>
        <w:pStyle w:val="NormalWeb"/>
      </w:pPr>
      <w:r>
        <w:t>(11) Earnings in excess of $480 for each full-time student 18 years old or older (excluding the head of household and spouse);</w:t>
      </w:r>
    </w:p>
    <w:p w:rsidR="00305180" w:rsidRDefault="00305180">
      <w:pPr>
        <w:pStyle w:val="NormalWeb"/>
      </w:pPr>
      <w:r>
        <w:lastRenderedPageBreak/>
        <w:t>(12) Adoption assistance payments in excess of $480 per adopted child;</w:t>
      </w:r>
    </w:p>
    <w:p w:rsidR="00305180" w:rsidRDefault="00305180">
      <w:pPr>
        <w:pStyle w:val="NormalWeb"/>
      </w:pPr>
      <w:r>
        <w:t>(13) [Reserved]</w:t>
      </w:r>
    </w:p>
    <w:p w:rsidR="00305180" w:rsidRDefault="00305180">
      <w:pPr>
        <w:pStyle w:val="NormalWeb"/>
      </w:pPr>
      <w:r>
        <w:t>(14) Deferred periodic amounts from supplemental security income and social security benefits that are received in a lump sum amount or in prospective monthly amounts.</w:t>
      </w:r>
    </w:p>
    <w:p w:rsidR="00305180" w:rsidRDefault="00305180">
      <w:pPr>
        <w:pStyle w:val="NormalWeb"/>
      </w:pPr>
      <w:r>
        <w:t>(15) Amounts received by the family in the form of refunds or rebates under State or local law for property taxes paid on the dwelling unit;</w:t>
      </w:r>
    </w:p>
    <w:p w:rsidR="00305180" w:rsidRDefault="00305180">
      <w:pPr>
        <w:pStyle w:val="NormalWeb"/>
      </w:pPr>
      <w:r>
        <w:t>(16) Amounts paid by a State agency to a family with a member who has a developmental disability and is living at home to offset the cost of services and equipment needed to keep the developmentally disabled family member at home; or</w:t>
      </w:r>
    </w:p>
    <w:p w:rsidR="00305180" w:rsidRDefault="00305180">
      <w:pPr>
        <w:pStyle w:val="NormalWeb"/>
      </w:pPr>
      <w:r>
        <w:t xml:space="preserve">(17) Amounts specifically excluded by any other Federal statute from consideration as income for purposes of determining eligibility or benefits under a category of assistance programs that includes assistance under any program to which the exclusions set forth in 24 CFR 5.609(c) apply. A notice will be published in </w:t>
      </w:r>
      <w:proofErr w:type="gramStart"/>
      <w:r>
        <w:t>the  Federal</w:t>
      </w:r>
      <w:proofErr w:type="gramEnd"/>
      <w:r>
        <w:t> Register  and distributed to PHAs and housing owners identifying the benefits that qualify for this exclusion. Updates will be published and distributed when necessary.</w:t>
      </w:r>
    </w:p>
    <w:p w:rsidR="00305180" w:rsidRDefault="00305180">
      <w:pPr>
        <w:pStyle w:val="NormalWeb"/>
      </w:pPr>
      <w:r>
        <w:t xml:space="preserve">(d) </w:t>
      </w:r>
      <w:proofErr w:type="spellStart"/>
      <w:r>
        <w:rPr>
          <w:i/>
          <w:iCs/>
        </w:rPr>
        <w:t>Annualization</w:t>
      </w:r>
      <w:proofErr w:type="spellEnd"/>
      <w:r>
        <w:rPr>
          <w:i/>
          <w:iCs/>
        </w:rPr>
        <w:t xml:space="preserve"> of income. </w:t>
      </w:r>
      <w:r>
        <w:t xml:space="preserve">If it is not feasible to anticipate a level of income over a 12-month period ( </w:t>
      </w:r>
      <w:r>
        <w:rPr>
          <w:i/>
          <w:iCs/>
        </w:rPr>
        <w:t xml:space="preserve">e.g., </w:t>
      </w:r>
      <w:r>
        <w:t>seasonal or cyclic income), or the PHA believes that past income is the best available indicator of expected future income, the PHA may annualize the income anticipated for a shorter period, subject to a redetermination at the end of the shorter period.</w:t>
      </w:r>
    </w:p>
    <w:p w:rsidR="00305180" w:rsidRDefault="00305180">
      <w:pPr>
        <w:pStyle w:val="NormalWeb"/>
        <w:rPr>
          <w:rFonts w:ascii="Arial" w:hAnsi="Arial" w:cs="Arial"/>
          <w:sz w:val="18"/>
          <w:szCs w:val="18"/>
        </w:rPr>
      </w:pPr>
      <w:r>
        <w:rPr>
          <w:rFonts w:ascii="Arial" w:hAnsi="Arial" w:cs="Arial"/>
          <w:sz w:val="18"/>
          <w:szCs w:val="18"/>
        </w:rPr>
        <w:t>[61 FR 54498, Oct, 18, 1996, as amended at 65 FR 16716, Mar. 29, 2000; 67 FR 47432, July 18, 2002; 70 FR 77743, Dec. 30, 2005]</w:t>
      </w:r>
    </w:p>
    <w:p w:rsidR="00305180" w:rsidRDefault="00305180">
      <w:pPr>
        <w:jc w:val="both"/>
      </w:pPr>
      <w:r>
        <w:t xml:space="preserve"> </w:t>
      </w:r>
    </w:p>
    <w:p w:rsidR="00305180" w:rsidRDefault="00305180">
      <w:pPr>
        <w:jc w:val="both"/>
      </w:pPr>
    </w:p>
    <w:p w:rsidR="00305180" w:rsidRDefault="00305180">
      <w:pPr>
        <w:jc w:val="both"/>
      </w:pPr>
    </w:p>
    <w:p w:rsidR="00305180" w:rsidRDefault="00305180">
      <w:pPr>
        <w:jc w:val="both"/>
      </w:pPr>
    </w:p>
    <w:p w:rsidR="00305180" w:rsidRDefault="00305180">
      <w:pPr>
        <w:jc w:val="both"/>
      </w:pPr>
    </w:p>
    <w:p w:rsidR="00305180" w:rsidRDefault="00305180">
      <w:pPr>
        <w:jc w:val="both"/>
      </w:pPr>
    </w:p>
    <w:p w:rsidR="00305180" w:rsidRDefault="00305180">
      <w:pPr>
        <w:jc w:val="both"/>
      </w:pPr>
      <w:r>
        <w:t>Appendix B</w:t>
      </w:r>
    </w:p>
    <w:p w:rsidR="00305180" w:rsidRDefault="00305180">
      <w:pPr>
        <w:jc w:val="both"/>
      </w:pPr>
    </w:p>
    <w:p w:rsidR="00305180" w:rsidRDefault="00305180">
      <w:r>
        <w:rPr>
          <w:b/>
          <w:bCs/>
        </w:rPr>
        <w:t>90.410 Effect of tenant failure to give notice of absence; absence; abandonment.</w:t>
      </w:r>
      <w:r>
        <w:t xml:space="preserve"> (1) If the rental agreement requires the tenant to give actual notice to the landlord of an anticipated extended absence in excess of seven days as permitted by ORS 90.340 and the tenant willfully fails to do so, the landlord may recover actual damages from the tenant.</w:t>
      </w:r>
    </w:p>
    <w:p w:rsidR="00305180" w:rsidRDefault="00305180">
      <w:r>
        <w:t>      (2) During any absence of the tenant in excess of seven days, the landlord may enter the dwelling unit at times reasonably necessary.</w:t>
      </w:r>
    </w:p>
    <w:p w:rsidR="00305180" w:rsidRDefault="00305180">
      <w:r>
        <w:t xml:space="preserve">      (3) If the tenant abandons the dwelling unit, the landlord shall make reasonable efforts to rent it for a fair rental. If the landlord rents the dwelling unit for a term beginning before the expiration of the rental agreement, the rental agreement terminates as of the date of the new tenancy. If the landlord fails to use reasonable efforts to rent the dwelling unit at a fair rental or if the landlord accepts the abandonment as </w:t>
      </w:r>
      <w:proofErr w:type="gramStart"/>
      <w:r>
        <w:t>a surrender</w:t>
      </w:r>
      <w:proofErr w:type="gramEnd"/>
      <w:r>
        <w:t>, the rental agreement is deemed to be terminated by the landlord as of the date the landlord knows or should know of the abandonment. If the tenancy is from month to month or week to week, the term of the rental agreement for this purpose is deemed to be a month or a week, as the case may be. [Formerly 91.825; 1993 c.369 §13; 1995 c.559 §29; 1999 c.603 §26]</w:t>
      </w:r>
    </w:p>
    <w:p w:rsidR="00305180" w:rsidRDefault="00305180">
      <w:pPr>
        <w:jc w:val="both"/>
      </w:pPr>
    </w:p>
    <w:sectPr w:rsidR="00305180" w:rsidSect="00615AAC">
      <w:footerReference w:type="default" r:id="rId8"/>
      <w:headerReference w:type="first" r:id="rId9"/>
      <w:footerReference w:type="first" r:id="rId10"/>
      <w:pgSz w:w="12240" w:h="15840"/>
      <w:pgMar w:top="720" w:right="720" w:bottom="720" w:left="72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BD" w:rsidRDefault="00955CBD">
      <w:r>
        <w:separator/>
      </w:r>
    </w:p>
  </w:endnote>
  <w:endnote w:type="continuationSeparator" w:id="0">
    <w:p w:rsidR="00955CBD" w:rsidRDefault="00955C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BD" w:rsidRDefault="00955CBD" w:rsidP="00615AAC">
    <w:pPr>
      <w:pStyle w:val="Footer"/>
      <w:tabs>
        <w:tab w:val="clear" w:pos="8640"/>
        <w:tab w:val="right" w:pos="7830"/>
      </w:tabs>
      <w:jc w:val="center"/>
    </w:pPr>
    <w:r>
      <w:tab/>
    </w:r>
    <w:fldSimple w:instr=" PAGE   \* MERGEFORMAT ">
      <w:r w:rsidR="00852A2C">
        <w:rPr>
          <w:noProof/>
        </w:rPr>
        <w:t>43</w:t>
      </w:r>
    </w:fldSimple>
    <w:r>
      <w:tab/>
      <w:t xml:space="preserve">    </w:t>
    </w:r>
    <w:r>
      <w:tab/>
      <w:t>Resolution #20</w:t>
    </w:r>
    <w:r w:rsidR="00F72B11">
      <w:t>59</w:t>
    </w:r>
  </w:p>
  <w:p w:rsidR="00955CBD" w:rsidRDefault="00955CBD">
    <w:pPr>
      <w:pStyle w:val="Footer"/>
    </w:pPr>
    <w:r>
      <w:tab/>
      <w:t xml:space="preserve">                                                                                                                                                    April 1, </w:t>
    </w:r>
    <w:r w:rsidR="00F72B11">
      <w:t>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BD" w:rsidRDefault="003B52F9">
    <w:pPr>
      <w:pStyle w:val="Footer"/>
      <w:jc w:val="center"/>
    </w:pPr>
    <w:fldSimple w:instr=" PAGE   \* MERGEFORMAT ">
      <w:r w:rsidR="00955CBD">
        <w:rPr>
          <w:noProof/>
        </w:rPr>
        <w:t>1</w:t>
      </w:r>
    </w:fldSimple>
  </w:p>
  <w:p w:rsidR="00955CBD" w:rsidRDefault="00955C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BD" w:rsidRDefault="00955CBD">
      <w:r>
        <w:separator/>
      </w:r>
    </w:p>
  </w:footnote>
  <w:footnote w:type="continuationSeparator" w:id="0">
    <w:p w:rsidR="00955CBD" w:rsidRDefault="00955C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CBD" w:rsidRDefault="00955C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0"/>
    <w:lvl w:ilvl="0">
      <w:start w:val="1"/>
      <w:numFmt w:val="decimal"/>
      <w:pStyle w:val="Quick1"/>
      <w:lvlText w:val="%1."/>
      <w:lvlJc w:val="left"/>
      <w:pPr>
        <w:tabs>
          <w:tab w:val="num" w:pos="2160"/>
        </w:tabs>
      </w:pPr>
    </w:lvl>
  </w:abstractNum>
  <w:abstractNum w:abstractNumId="1">
    <w:nsid w:val="00000005"/>
    <w:multiLevelType w:val="singleLevel"/>
    <w:tmpl w:val="00000000"/>
    <w:lvl w:ilvl="0">
      <w:start w:val="1"/>
      <w:numFmt w:val="lowerLetter"/>
      <w:pStyle w:val="Quicka"/>
      <w:lvlText w:val="%1."/>
      <w:lvlJc w:val="left"/>
      <w:pPr>
        <w:tabs>
          <w:tab w:val="num" w:pos="2880"/>
        </w:tabs>
      </w:pPr>
    </w:lvl>
  </w:abstractNum>
  <w:abstractNum w:abstractNumId="2">
    <w:nsid w:val="012105DC"/>
    <w:multiLevelType w:val="hybridMultilevel"/>
    <w:tmpl w:val="F996956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01861BB4"/>
    <w:multiLevelType w:val="hybridMultilevel"/>
    <w:tmpl w:val="57A26D92"/>
    <w:lvl w:ilvl="0" w:tplc="CF408442">
      <w:start w:val="1"/>
      <w:numFmt w:val="decimal"/>
      <w:lvlText w:val="%1."/>
      <w:lvlJc w:val="left"/>
      <w:pPr>
        <w:tabs>
          <w:tab w:val="num" w:pos="1080"/>
        </w:tabs>
        <w:ind w:left="1080" w:hanging="360"/>
      </w:pPr>
      <w:rPr>
        <w:rFonts w:hint="default"/>
      </w:rPr>
    </w:lvl>
    <w:lvl w:ilvl="1" w:tplc="56C08856">
      <w:start w:val="1"/>
      <w:numFmt w:val="lowerLetter"/>
      <w:lvlText w:val="(%2)"/>
      <w:lvlJc w:val="left"/>
      <w:pPr>
        <w:tabs>
          <w:tab w:val="num" w:pos="1800"/>
        </w:tabs>
        <w:ind w:left="1800" w:hanging="360"/>
      </w:pPr>
      <w:rPr>
        <w:rFonts w:hint="default"/>
      </w:rPr>
    </w:lvl>
    <w:lvl w:ilvl="2" w:tplc="CF1E35D0" w:tentative="1">
      <w:start w:val="1"/>
      <w:numFmt w:val="lowerRoman"/>
      <w:lvlText w:val="%3."/>
      <w:lvlJc w:val="right"/>
      <w:pPr>
        <w:tabs>
          <w:tab w:val="num" w:pos="2520"/>
        </w:tabs>
        <w:ind w:left="2520" w:hanging="180"/>
      </w:pPr>
    </w:lvl>
    <w:lvl w:ilvl="3" w:tplc="D8AAACEE" w:tentative="1">
      <w:start w:val="1"/>
      <w:numFmt w:val="decimal"/>
      <w:lvlText w:val="%4."/>
      <w:lvlJc w:val="left"/>
      <w:pPr>
        <w:tabs>
          <w:tab w:val="num" w:pos="3240"/>
        </w:tabs>
        <w:ind w:left="3240" w:hanging="360"/>
      </w:pPr>
    </w:lvl>
    <w:lvl w:ilvl="4" w:tplc="C916EA54" w:tentative="1">
      <w:start w:val="1"/>
      <w:numFmt w:val="lowerLetter"/>
      <w:lvlText w:val="%5."/>
      <w:lvlJc w:val="left"/>
      <w:pPr>
        <w:tabs>
          <w:tab w:val="num" w:pos="3960"/>
        </w:tabs>
        <w:ind w:left="3960" w:hanging="360"/>
      </w:pPr>
    </w:lvl>
    <w:lvl w:ilvl="5" w:tplc="21701172" w:tentative="1">
      <w:start w:val="1"/>
      <w:numFmt w:val="lowerRoman"/>
      <w:lvlText w:val="%6."/>
      <w:lvlJc w:val="right"/>
      <w:pPr>
        <w:tabs>
          <w:tab w:val="num" w:pos="4680"/>
        </w:tabs>
        <w:ind w:left="4680" w:hanging="180"/>
      </w:pPr>
    </w:lvl>
    <w:lvl w:ilvl="6" w:tplc="8028ECC6" w:tentative="1">
      <w:start w:val="1"/>
      <w:numFmt w:val="decimal"/>
      <w:lvlText w:val="%7."/>
      <w:lvlJc w:val="left"/>
      <w:pPr>
        <w:tabs>
          <w:tab w:val="num" w:pos="5400"/>
        </w:tabs>
        <w:ind w:left="5400" w:hanging="360"/>
      </w:pPr>
    </w:lvl>
    <w:lvl w:ilvl="7" w:tplc="209077C6" w:tentative="1">
      <w:start w:val="1"/>
      <w:numFmt w:val="lowerLetter"/>
      <w:lvlText w:val="%8."/>
      <w:lvlJc w:val="left"/>
      <w:pPr>
        <w:tabs>
          <w:tab w:val="num" w:pos="6120"/>
        </w:tabs>
        <w:ind w:left="6120" w:hanging="360"/>
      </w:pPr>
    </w:lvl>
    <w:lvl w:ilvl="8" w:tplc="44049954" w:tentative="1">
      <w:start w:val="1"/>
      <w:numFmt w:val="lowerRoman"/>
      <w:lvlText w:val="%9."/>
      <w:lvlJc w:val="right"/>
      <w:pPr>
        <w:tabs>
          <w:tab w:val="num" w:pos="6840"/>
        </w:tabs>
        <w:ind w:left="6840" w:hanging="180"/>
      </w:pPr>
    </w:lvl>
  </w:abstractNum>
  <w:abstractNum w:abstractNumId="4">
    <w:nsid w:val="05606C66"/>
    <w:multiLevelType w:val="hybridMultilevel"/>
    <w:tmpl w:val="A900E2B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nsid w:val="097D3C33"/>
    <w:multiLevelType w:val="hybridMultilevel"/>
    <w:tmpl w:val="61F08FCA"/>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6">
    <w:nsid w:val="0C025234"/>
    <w:multiLevelType w:val="hybridMultilevel"/>
    <w:tmpl w:val="7F6828E4"/>
    <w:lvl w:ilvl="0" w:tplc="D436DD6E">
      <w:start w:val="1"/>
      <w:numFmt w:val="decimal"/>
      <w:lvlText w:val="%1."/>
      <w:lvlJc w:val="left"/>
      <w:pPr>
        <w:tabs>
          <w:tab w:val="num" w:pos="720"/>
        </w:tabs>
        <w:ind w:left="720" w:hanging="360"/>
      </w:pPr>
      <w:rPr>
        <w:rFonts w:hint="default"/>
      </w:rPr>
    </w:lvl>
    <w:lvl w:ilvl="1" w:tplc="835CF262" w:tentative="1">
      <w:start w:val="1"/>
      <w:numFmt w:val="lowerLetter"/>
      <w:lvlText w:val="%2."/>
      <w:lvlJc w:val="left"/>
      <w:pPr>
        <w:tabs>
          <w:tab w:val="num" w:pos="1440"/>
        </w:tabs>
        <w:ind w:left="1440" w:hanging="360"/>
      </w:pPr>
    </w:lvl>
    <w:lvl w:ilvl="2" w:tplc="49189742" w:tentative="1">
      <w:start w:val="1"/>
      <w:numFmt w:val="lowerRoman"/>
      <w:lvlText w:val="%3."/>
      <w:lvlJc w:val="right"/>
      <w:pPr>
        <w:tabs>
          <w:tab w:val="num" w:pos="2160"/>
        </w:tabs>
        <w:ind w:left="2160" w:hanging="180"/>
      </w:pPr>
    </w:lvl>
    <w:lvl w:ilvl="3" w:tplc="64BC1ADA" w:tentative="1">
      <w:start w:val="1"/>
      <w:numFmt w:val="decimal"/>
      <w:lvlText w:val="%4."/>
      <w:lvlJc w:val="left"/>
      <w:pPr>
        <w:tabs>
          <w:tab w:val="num" w:pos="2880"/>
        </w:tabs>
        <w:ind w:left="2880" w:hanging="360"/>
      </w:pPr>
    </w:lvl>
    <w:lvl w:ilvl="4" w:tplc="A414FEE4" w:tentative="1">
      <w:start w:val="1"/>
      <w:numFmt w:val="lowerLetter"/>
      <w:lvlText w:val="%5."/>
      <w:lvlJc w:val="left"/>
      <w:pPr>
        <w:tabs>
          <w:tab w:val="num" w:pos="3600"/>
        </w:tabs>
        <w:ind w:left="3600" w:hanging="360"/>
      </w:pPr>
    </w:lvl>
    <w:lvl w:ilvl="5" w:tplc="3FC26F28" w:tentative="1">
      <w:start w:val="1"/>
      <w:numFmt w:val="lowerRoman"/>
      <w:lvlText w:val="%6."/>
      <w:lvlJc w:val="right"/>
      <w:pPr>
        <w:tabs>
          <w:tab w:val="num" w:pos="4320"/>
        </w:tabs>
        <w:ind w:left="4320" w:hanging="180"/>
      </w:pPr>
    </w:lvl>
    <w:lvl w:ilvl="6" w:tplc="EB303AAC" w:tentative="1">
      <w:start w:val="1"/>
      <w:numFmt w:val="decimal"/>
      <w:lvlText w:val="%7."/>
      <w:lvlJc w:val="left"/>
      <w:pPr>
        <w:tabs>
          <w:tab w:val="num" w:pos="5040"/>
        </w:tabs>
        <w:ind w:left="5040" w:hanging="360"/>
      </w:pPr>
    </w:lvl>
    <w:lvl w:ilvl="7" w:tplc="2312EAF6" w:tentative="1">
      <w:start w:val="1"/>
      <w:numFmt w:val="lowerLetter"/>
      <w:lvlText w:val="%8."/>
      <w:lvlJc w:val="left"/>
      <w:pPr>
        <w:tabs>
          <w:tab w:val="num" w:pos="5760"/>
        </w:tabs>
        <w:ind w:left="5760" w:hanging="360"/>
      </w:pPr>
    </w:lvl>
    <w:lvl w:ilvl="8" w:tplc="90E0822C" w:tentative="1">
      <w:start w:val="1"/>
      <w:numFmt w:val="lowerRoman"/>
      <w:lvlText w:val="%9."/>
      <w:lvlJc w:val="right"/>
      <w:pPr>
        <w:tabs>
          <w:tab w:val="num" w:pos="6480"/>
        </w:tabs>
        <w:ind w:left="6480" w:hanging="180"/>
      </w:pPr>
    </w:lvl>
  </w:abstractNum>
  <w:abstractNum w:abstractNumId="7">
    <w:nsid w:val="0F29570E"/>
    <w:multiLevelType w:val="hybridMultilevel"/>
    <w:tmpl w:val="5F42DD26"/>
    <w:lvl w:ilvl="0" w:tplc="43825EB6">
      <w:start w:val="1"/>
      <w:numFmt w:val="upperLetter"/>
      <w:pStyle w:val="Heading8"/>
      <w:lvlText w:val="%1."/>
      <w:lvlJc w:val="left"/>
      <w:pPr>
        <w:tabs>
          <w:tab w:val="num" w:pos="720"/>
        </w:tabs>
        <w:ind w:left="720" w:hanging="360"/>
      </w:pPr>
      <w:rPr>
        <w:rFonts w:hint="default"/>
      </w:rPr>
    </w:lvl>
    <w:lvl w:ilvl="1" w:tplc="FAE24904" w:tentative="1">
      <w:start w:val="1"/>
      <w:numFmt w:val="lowerLetter"/>
      <w:lvlText w:val="%2."/>
      <w:lvlJc w:val="left"/>
      <w:pPr>
        <w:tabs>
          <w:tab w:val="num" w:pos="1440"/>
        </w:tabs>
        <w:ind w:left="1440" w:hanging="360"/>
      </w:pPr>
    </w:lvl>
    <w:lvl w:ilvl="2" w:tplc="89CE1582" w:tentative="1">
      <w:start w:val="1"/>
      <w:numFmt w:val="lowerRoman"/>
      <w:lvlText w:val="%3."/>
      <w:lvlJc w:val="right"/>
      <w:pPr>
        <w:tabs>
          <w:tab w:val="num" w:pos="2160"/>
        </w:tabs>
        <w:ind w:left="2160" w:hanging="180"/>
      </w:pPr>
    </w:lvl>
    <w:lvl w:ilvl="3" w:tplc="5CF8F52A" w:tentative="1">
      <w:start w:val="1"/>
      <w:numFmt w:val="decimal"/>
      <w:lvlText w:val="%4."/>
      <w:lvlJc w:val="left"/>
      <w:pPr>
        <w:tabs>
          <w:tab w:val="num" w:pos="2880"/>
        </w:tabs>
        <w:ind w:left="2880" w:hanging="360"/>
      </w:pPr>
    </w:lvl>
    <w:lvl w:ilvl="4" w:tplc="1302AC24" w:tentative="1">
      <w:start w:val="1"/>
      <w:numFmt w:val="lowerLetter"/>
      <w:lvlText w:val="%5."/>
      <w:lvlJc w:val="left"/>
      <w:pPr>
        <w:tabs>
          <w:tab w:val="num" w:pos="3600"/>
        </w:tabs>
        <w:ind w:left="3600" w:hanging="360"/>
      </w:pPr>
    </w:lvl>
    <w:lvl w:ilvl="5" w:tplc="691E152C" w:tentative="1">
      <w:start w:val="1"/>
      <w:numFmt w:val="lowerRoman"/>
      <w:lvlText w:val="%6."/>
      <w:lvlJc w:val="right"/>
      <w:pPr>
        <w:tabs>
          <w:tab w:val="num" w:pos="4320"/>
        </w:tabs>
        <w:ind w:left="4320" w:hanging="180"/>
      </w:pPr>
    </w:lvl>
    <w:lvl w:ilvl="6" w:tplc="B57E3FB6" w:tentative="1">
      <w:start w:val="1"/>
      <w:numFmt w:val="decimal"/>
      <w:lvlText w:val="%7."/>
      <w:lvlJc w:val="left"/>
      <w:pPr>
        <w:tabs>
          <w:tab w:val="num" w:pos="5040"/>
        </w:tabs>
        <w:ind w:left="5040" w:hanging="360"/>
      </w:pPr>
    </w:lvl>
    <w:lvl w:ilvl="7" w:tplc="72C2E434" w:tentative="1">
      <w:start w:val="1"/>
      <w:numFmt w:val="lowerLetter"/>
      <w:lvlText w:val="%8."/>
      <w:lvlJc w:val="left"/>
      <w:pPr>
        <w:tabs>
          <w:tab w:val="num" w:pos="5760"/>
        </w:tabs>
        <w:ind w:left="5760" w:hanging="360"/>
      </w:pPr>
    </w:lvl>
    <w:lvl w:ilvl="8" w:tplc="2DC41BD8" w:tentative="1">
      <w:start w:val="1"/>
      <w:numFmt w:val="lowerRoman"/>
      <w:lvlText w:val="%9."/>
      <w:lvlJc w:val="right"/>
      <w:pPr>
        <w:tabs>
          <w:tab w:val="num" w:pos="6480"/>
        </w:tabs>
        <w:ind w:left="6480" w:hanging="180"/>
      </w:pPr>
    </w:lvl>
  </w:abstractNum>
  <w:abstractNum w:abstractNumId="8">
    <w:nsid w:val="105D6E37"/>
    <w:multiLevelType w:val="hybridMultilevel"/>
    <w:tmpl w:val="147645DA"/>
    <w:lvl w:ilvl="0" w:tplc="BF0A9126">
      <w:start w:val="1"/>
      <w:numFmt w:val="bullet"/>
      <w:lvlText w:val=""/>
      <w:lvlJc w:val="left"/>
      <w:pPr>
        <w:tabs>
          <w:tab w:val="num" w:pos="1080"/>
        </w:tabs>
        <w:ind w:left="1080" w:hanging="360"/>
      </w:pPr>
      <w:rPr>
        <w:rFonts w:ascii="Symbol" w:hAnsi="Symbol" w:hint="default"/>
      </w:rPr>
    </w:lvl>
    <w:lvl w:ilvl="1" w:tplc="FE62C326" w:tentative="1">
      <w:start w:val="1"/>
      <w:numFmt w:val="bullet"/>
      <w:lvlText w:val="o"/>
      <w:lvlJc w:val="left"/>
      <w:pPr>
        <w:tabs>
          <w:tab w:val="num" w:pos="1800"/>
        </w:tabs>
        <w:ind w:left="1800" w:hanging="360"/>
      </w:pPr>
      <w:rPr>
        <w:rFonts w:ascii="Courier New" w:hAnsi="Courier New" w:hint="default"/>
      </w:rPr>
    </w:lvl>
    <w:lvl w:ilvl="2" w:tplc="3EE2C58C" w:tentative="1">
      <w:start w:val="1"/>
      <w:numFmt w:val="bullet"/>
      <w:lvlText w:val=""/>
      <w:lvlJc w:val="left"/>
      <w:pPr>
        <w:tabs>
          <w:tab w:val="num" w:pos="2520"/>
        </w:tabs>
        <w:ind w:left="2520" w:hanging="360"/>
      </w:pPr>
      <w:rPr>
        <w:rFonts w:ascii="Wingdings" w:hAnsi="Wingdings" w:hint="default"/>
      </w:rPr>
    </w:lvl>
    <w:lvl w:ilvl="3" w:tplc="03D2F9E0" w:tentative="1">
      <w:start w:val="1"/>
      <w:numFmt w:val="bullet"/>
      <w:lvlText w:val=""/>
      <w:lvlJc w:val="left"/>
      <w:pPr>
        <w:tabs>
          <w:tab w:val="num" w:pos="3240"/>
        </w:tabs>
        <w:ind w:left="3240" w:hanging="360"/>
      </w:pPr>
      <w:rPr>
        <w:rFonts w:ascii="Symbol" w:hAnsi="Symbol" w:hint="default"/>
      </w:rPr>
    </w:lvl>
    <w:lvl w:ilvl="4" w:tplc="C5EA443E" w:tentative="1">
      <w:start w:val="1"/>
      <w:numFmt w:val="bullet"/>
      <w:lvlText w:val="o"/>
      <w:lvlJc w:val="left"/>
      <w:pPr>
        <w:tabs>
          <w:tab w:val="num" w:pos="3960"/>
        </w:tabs>
        <w:ind w:left="3960" w:hanging="360"/>
      </w:pPr>
      <w:rPr>
        <w:rFonts w:ascii="Courier New" w:hAnsi="Courier New" w:hint="default"/>
      </w:rPr>
    </w:lvl>
    <w:lvl w:ilvl="5" w:tplc="72CEDBFA" w:tentative="1">
      <w:start w:val="1"/>
      <w:numFmt w:val="bullet"/>
      <w:lvlText w:val=""/>
      <w:lvlJc w:val="left"/>
      <w:pPr>
        <w:tabs>
          <w:tab w:val="num" w:pos="4680"/>
        </w:tabs>
        <w:ind w:left="4680" w:hanging="360"/>
      </w:pPr>
      <w:rPr>
        <w:rFonts w:ascii="Wingdings" w:hAnsi="Wingdings" w:hint="default"/>
      </w:rPr>
    </w:lvl>
    <w:lvl w:ilvl="6" w:tplc="AB0213CC" w:tentative="1">
      <w:start w:val="1"/>
      <w:numFmt w:val="bullet"/>
      <w:lvlText w:val=""/>
      <w:lvlJc w:val="left"/>
      <w:pPr>
        <w:tabs>
          <w:tab w:val="num" w:pos="5400"/>
        </w:tabs>
        <w:ind w:left="5400" w:hanging="360"/>
      </w:pPr>
      <w:rPr>
        <w:rFonts w:ascii="Symbol" w:hAnsi="Symbol" w:hint="default"/>
      </w:rPr>
    </w:lvl>
    <w:lvl w:ilvl="7" w:tplc="FBAA3132" w:tentative="1">
      <w:start w:val="1"/>
      <w:numFmt w:val="bullet"/>
      <w:lvlText w:val="o"/>
      <w:lvlJc w:val="left"/>
      <w:pPr>
        <w:tabs>
          <w:tab w:val="num" w:pos="6120"/>
        </w:tabs>
        <w:ind w:left="6120" w:hanging="360"/>
      </w:pPr>
      <w:rPr>
        <w:rFonts w:ascii="Courier New" w:hAnsi="Courier New" w:hint="default"/>
      </w:rPr>
    </w:lvl>
    <w:lvl w:ilvl="8" w:tplc="BE488AA8" w:tentative="1">
      <w:start w:val="1"/>
      <w:numFmt w:val="bullet"/>
      <w:lvlText w:val=""/>
      <w:lvlJc w:val="left"/>
      <w:pPr>
        <w:tabs>
          <w:tab w:val="num" w:pos="6840"/>
        </w:tabs>
        <w:ind w:left="6840" w:hanging="360"/>
      </w:pPr>
      <w:rPr>
        <w:rFonts w:ascii="Wingdings" w:hAnsi="Wingdings" w:hint="default"/>
      </w:rPr>
    </w:lvl>
  </w:abstractNum>
  <w:abstractNum w:abstractNumId="9">
    <w:nsid w:val="16156732"/>
    <w:multiLevelType w:val="hybridMultilevel"/>
    <w:tmpl w:val="B42ECC56"/>
    <w:lvl w:ilvl="0" w:tplc="AFEA49BE">
      <w:start w:val="1"/>
      <w:numFmt w:val="lowerLetter"/>
      <w:lvlText w:val="(%1)"/>
      <w:lvlJc w:val="left"/>
      <w:pPr>
        <w:tabs>
          <w:tab w:val="num" w:pos="720"/>
        </w:tabs>
        <w:ind w:left="720" w:hanging="360"/>
      </w:pPr>
      <w:rPr>
        <w:rFonts w:hint="default"/>
      </w:rPr>
    </w:lvl>
    <w:lvl w:ilvl="1" w:tplc="707235BA" w:tentative="1">
      <w:start w:val="1"/>
      <w:numFmt w:val="lowerLetter"/>
      <w:lvlText w:val="%2."/>
      <w:lvlJc w:val="left"/>
      <w:pPr>
        <w:tabs>
          <w:tab w:val="num" w:pos="1440"/>
        </w:tabs>
        <w:ind w:left="1440" w:hanging="360"/>
      </w:pPr>
    </w:lvl>
    <w:lvl w:ilvl="2" w:tplc="91A021EE" w:tentative="1">
      <w:start w:val="1"/>
      <w:numFmt w:val="lowerRoman"/>
      <w:lvlText w:val="%3."/>
      <w:lvlJc w:val="right"/>
      <w:pPr>
        <w:tabs>
          <w:tab w:val="num" w:pos="2160"/>
        </w:tabs>
        <w:ind w:left="2160" w:hanging="180"/>
      </w:pPr>
    </w:lvl>
    <w:lvl w:ilvl="3" w:tplc="F7005B90">
      <w:start w:val="1"/>
      <w:numFmt w:val="decimal"/>
      <w:lvlText w:val="%4."/>
      <w:lvlJc w:val="left"/>
      <w:pPr>
        <w:tabs>
          <w:tab w:val="num" w:pos="2880"/>
        </w:tabs>
        <w:ind w:left="2880" w:hanging="360"/>
      </w:pPr>
    </w:lvl>
    <w:lvl w:ilvl="4" w:tplc="131ECFEC" w:tentative="1">
      <w:start w:val="1"/>
      <w:numFmt w:val="lowerLetter"/>
      <w:lvlText w:val="%5."/>
      <w:lvlJc w:val="left"/>
      <w:pPr>
        <w:tabs>
          <w:tab w:val="num" w:pos="3600"/>
        </w:tabs>
        <w:ind w:left="3600" w:hanging="360"/>
      </w:pPr>
    </w:lvl>
    <w:lvl w:ilvl="5" w:tplc="2638BEEA" w:tentative="1">
      <w:start w:val="1"/>
      <w:numFmt w:val="lowerRoman"/>
      <w:lvlText w:val="%6."/>
      <w:lvlJc w:val="right"/>
      <w:pPr>
        <w:tabs>
          <w:tab w:val="num" w:pos="4320"/>
        </w:tabs>
        <w:ind w:left="4320" w:hanging="180"/>
      </w:pPr>
    </w:lvl>
    <w:lvl w:ilvl="6" w:tplc="D2A6E054" w:tentative="1">
      <w:start w:val="1"/>
      <w:numFmt w:val="decimal"/>
      <w:lvlText w:val="%7."/>
      <w:lvlJc w:val="left"/>
      <w:pPr>
        <w:tabs>
          <w:tab w:val="num" w:pos="5040"/>
        </w:tabs>
        <w:ind w:left="5040" w:hanging="360"/>
      </w:pPr>
    </w:lvl>
    <w:lvl w:ilvl="7" w:tplc="B67C445E" w:tentative="1">
      <w:start w:val="1"/>
      <w:numFmt w:val="lowerLetter"/>
      <w:lvlText w:val="%8."/>
      <w:lvlJc w:val="left"/>
      <w:pPr>
        <w:tabs>
          <w:tab w:val="num" w:pos="5760"/>
        </w:tabs>
        <w:ind w:left="5760" w:hanging="360"/>
      </w:pPr>
    </w:lvl>
    <w:lvl w:ilvl="8" w:tplc="5A247CB2" w:tentative="1">
      <w:start w:val="1"/>
      <w:numFmt w:val="lowerRoman"/>
      <w:lvlText w:val="%9."/>
      <w:lvlJc w:val="right"/>
      <w:pPr>
        <w:tabs>
          <w:tab w:val="num" w:pos="6480"/>
        </w:tabs>
        <w:ind w:left="6480" w:hanging="180"/>
      </w:pPr>
    </w:lvl>
  </w:abstractNum>
  <w:abstractNum w:abstractNumId="10">
    <w:nsid w:val="1C0E701D"/>
    <w:multiLevelType w:val="hybridMultilevel"/>
    <w:tmpl w:val="17CA2628"/>
    <w:lvl w:ilvl="0" w:tplc="2FFC5B08">
      <w:start w:val="1"/>
      <w:numFmt w:val="decimal"/>
      <w:lvlText w:val="%1."/>
      <w:lvlJc w:val="left"/>
      <w:pPr>
        <w:tabs>
          <w:tab w:val="num" w:pos="720"/>
        </w:tabs>
        <w:ind w:left="720" w:hanging="360"/>
      </w:pPr>
      <w:rPr>
        <w:rFonts w:hint="default"/>
      </w:rPr>
    </w:lvl>
    <w:lvl w:ilvl="1" w:tplc="CD3AE916">
      <w:start w:val="3"/>
      <w:numFmt w:val="upperLetter"/>
      <w:lvlText w:val="%2."/>
      <w:lvlJc w:val="left"/>
      <w:pPr>
        <w:tabs>
          <w:tab w:val="num" w:pos="1440"/>
        </w:tabs>
        <w:ind w:left="1440" w:hanging="360"/>
      </w:pPr>
      <w:rPr>
        <w:rFonts w:hint="default"/>
      </w:rPr>
    </w:lvl>
    <w:lvl w:ilvl="2" w:tplc="73E206BE" w:tentative="1">
      <w:start w:val="1"/>
      <w:numFmt w:val="lowerRoman"/>
      <w:lvlText w:val="%3."/>
      <w:lvlJc w:val="right"/>
      <w:pPr>
        <w:tabs>
          <w:tab w:val="num" w:pos="2160"/>
        </w:tabs>
        <w:ind w:left="2160" w:hanging="180"/>
      </w:pPr>
    </w:lvl>
    <w:lvl w:ilvl="3" w:tplc="EC7E5D98" w:tentative="1">
      <w:start w:val="1"/>
      <w:numFmt w:val="decimal"/>
      <w:lvlText w:val="%4."/>
      <w:lvlJc w:val="left"/>
      <w:pPr>
        <w:tabs>
          <w:tab w:val="num" w:pos="2880"/>
        </w:tabs>
        <w:ind w:left="2880" w:hanging="360"/>
      </w:pPr>
    </w:lvl>
    <w:lvl w:ilvl="4" w:tplc="F4E202A2" w:tentative="1">
      <w:start w:val="1"/>
      <w:numFmt w:val="lowerLetter"/>
      <w:lvlText w:val="%5."/>
      <w:lvlJc w:val="left"/>
      <w:pPr>
        <w:tabs>
          <w:tab w:val="num" w:pos="3600"/>
        </w:tabs>
        <w:ind w:left="3600" w:hanging="360"/>
      </w:pPr>
    </w:lvl>
    <w:lvl w:ilvl="5" w:tplc="70FAB33C" w:tentative="1">
      <w:start w:val="1"/>
      <w:numFmt w:val="lowerRoman"/>
      <w:lvlText w:val="%6."/>
      <w:lvlJc w:val="right"/>
      <w:pPr>
        <w:tabs>
          <w:tab w:val="num" w:pos="4320"/>
        </w:tabs>
        <w:ind w:left="4320" w:hanging="180"/>
      </w:pPr>
    </w:lvl>
    <w:lvl w:ilvl="6" w:tplc="97423ACA" w:tentative="1">
      <w:start w:val="1"/>
      <w:numFmt w:val="decimal"/>
      <w:lvlText w:val="%7."/>
      <w:lvlJc w:val="left"/>
      <w:pPr>
        <w:tabs>
          <w:tab w:val="num" w:pos="5040"/>
        </w:tabs>
        <w:ind w:left="5040" w:hanging="360"/>
      </w:pPr>
    </w:lvl>
    <w:lvl w:ilvl="7" w:tplc="B03C7286" w:tentative="1">
      <w:start w:val="1"/>
      <w:numFmt w:val="lowerLetter"/>
      <w:lvlText w:val="%8."/>
      <w:lvlJc w:val="left"/>
      <w:pPr>
        <w:tabs>
          <w:tab w:val="num" w:pos="5760"/>
        </w:tabs>
        <w:ind w:left="5760" w:hanging="360"/>
      </w:pPr>
    </w:lvl>
    <w:lvl w:ilvl="8" w:tplc="DA849764" w:tentative="1">
      <w:start w:val="1"/>
      <w:numFmt w:val="lowerRoman"/>
      <w:lvlText w:val="%9."/>
      <w:lvlJc w:val="right"/>
      <w:pPr>
        <w:tabs>
          <w:tab w:val="num" w:pos="6480"/>
        </w:tabs>
        <w:ind w:left="6480" w:hanging="180"/>
      </w:pPr>
    </w:lvl>
  </w:abstractNum>
  <w:abstractNum w:abstractNumId="11">
    <w:nsid w:val="20D667D2"/>
    <w:multiLevelType w:val="hybridMultilevel"/>
    <w:tmpl w:val="556A2DF6"/>
    <w:lvl w:ilvl="0" w:tplc="BEDCB4E0">
      <w:start w:val="1"/>
      <w:numFmt w:val="upperLetter"/>
      <w:lvlText w:val="%1."/>
      <w:lvlJc w:val="left"/>
      <w:pPr>
        <w:tabs>
          <w:tab w:val="num" w:pos="720"/>
        </w:tabs>
        <w:ind w:left="720" w:hanging="360"/>
      </w:pPr>
      <w:rPr>
        <w:rFonts w:hint="default"/>
      </w:rPr>
    </w:lvl>
    <w:lvl w:ilvl="1" w:tplc="A23ED564" w:tentative="1">
      <w:start w:val="1"/>
      <w:numFmt w:val="lowerLetter"/>
      <w:lvlText w:val="%2."/>
      <w:lvlJc w:val="left"/>
      <w:pPr>
        <w:tabs>
          <w:tab w:val="num" w:pos="1440"/>
        </w:tabs>
        <w:ind w:left="1440" w:hanging="360"/>
      </w:pPr>
    </w:lvl>
    <w:lvl w:ilvl="2" w:tplc="FE78D106" w:tentative="1">
      <w:start w:val="1"/>
      <w:numFmt w:val="lowerRoman"/>
      <w:lvlText w:val="%3."/>
      <w:lvlJc w:val="right"/>
      <w:pPr>
        <w:tabs>
          <w:tab w:val="num" w:pos="2160"/>
        </w:tabs>
        <w:ind w:left="2160" w:hanging="180"/>
      </w:pPr>
    </w:lvl>
    <w:lvl w:ilvl="3" w:tplc="854ADAD2" w:tentative="1">
      <w:start w:val="1"/>
      <w:numFmt w:val="decimal"/>
      <w:lvlText w:val="%4."/>
      <w:lvlJc w:val="left"/>
      <w:pPr>
        <w:tabs>
          <w:tab w:val="num" w:pos="2880"/>
        </w:tabs>
        <w:ind w:left="2880" w:hanging="360"/>
      </w:pPr>
    </w:lvl>
    <w:lvl w:ilvl="4" w:tplc="2EB07DFA" w:tentative="1">
      <w:start w:val="1"/>
      <w:numFmt w:val="lowerLetter"/>
      <w:lvlText w:val="%5."/>
      <w:lvlJc w:val="left"/>
      <w:pPr>
        <w:tabs>
          <w:tab w:val="num" w:pos="3600"/>
        </w:tabs>
        <w:ind w:left="3600" w:hanging="360"/>
      </w:pPr>
    </w:lvl>
    <w:lvl w:ilvl="5" w:tplc="546C07A0" w:tentative="1">
      <w:start w:val="1"/>
      <w:numFmt w:val="lowerRoman"/>
      <w:lvlText w:val="%6."/>
      <w:lvlJc w:val="right"/>
      <w:pPr>
        <w:tabs>
          <w:tab w:val="num" w:pos="4320"/>
        </w:tabs>
        <w:ind w:left="4320" w:hanging="180"/>
      </w:pPr>
    </w:lvl>
    <w:lvl w:ilvl="6" w:tplc="D59C37DE" w:tentative="1">
      <w:start w:val="1"/>
      <w:numFmt w:val="decimal"/>
      <w:lvlText w:val="%7."/>
      <w:lvlJc w:val="left"/>
      <w:pPr>
        <w:tabs>
          <w:tab w:val="num" w:pos="5040"/>
        </w:tabs>
        <w:ind w:left="5040" w:hanging="360"/>
      </w:pPr>
    </w:lvl>
    <w:lvl w:ilvl="7" w:tplc="A48864AC" w:tentative="1">
      <w:start w:val="1"/>
      <w:numFmt w:val="lowerLetter"/>
      <w:lvlText w:val="%8."/>
      <w:lvlJc w:val="left"/>
      <w:pPr>
        <w:tabs>
          <w:tab w:val="num" w:pos="5760"/>
        </w:tabs>
        <w:ind w:left="5760" w:hanging="360"/>
      </w:pPr>
    </w:lvl>
    <w:lvl w:ilvl="8" w:tplc="8F403128" w:tentative="1">
      <w:start w:val="1"/>
      <w:numFmt w:val="lowerRoman"/>
      <w:lvlText w:val="%9."/>
      <w:lvlJc w:val="right"/>
      <w:pPr>
        <w:tabs>
          <w:tab w:val="num" w:pos="6480"/>
        </w:tabs>
        <w:ind w:left="6480" w:hanging="180"/>
      </w:pPr>
    </w:lvl>
  </w:abstractNum>
  <w:abstractNum w:abstractNumId="12">
    <w:nsid w:val="233B4DD0"/>
    <w:multiLevelType w:val="singleLevel"/>
    <w:tmpl w:val="CF38281E"/>
    <w:lvl w:ilvl="0">
      <w:start w:val="1"/>
      <w:numFmt w:val="lowerLetter"/>
      <w:lvlText w:val="(%1)"/>
      <w:lvlJc w:val="left"/>
      <w:pPr>
        <w:tabs>
          <w:tab w:val="num" w:pos="1224"/>
        </w:tabs>
        <w:ind w:left="1224" w:hanging="360"/>
      </w:pPr>
      <w:rPr>
        <w:rFonts w:hint="default"/>
        <w:b w:val="0"/>
      </w:rPr>
    </w:lvl>
  </w:abstractNum>
  <w:abstractNum w:abstractNumId="13">
    <w:nsid w:val="2349710F"/>
    <w:multiLevelType w:val="hybridMultilevel"/>
    <w:tmpl w:val="81262D16"/>
    <w:lvl w:ilvl="0" w:tplc="1A70AF28">
      <w:start w:val="1"/>
      <w:numFmt w:val="upperLetter"/>
      <w:pStyle w:val="Heading4"/>
      <w:lvlText w:val="%1."/>
      <w:lvlJc w:val="left"/>
      <w:pPr>
        <w:tabs>
          <w:tab w:val="num" w:pos="720"/>
        </w:tabs>
        <w:ind w:left="720" w:hanging="360"/>
      </w:pPr>
      <w:rPr>
        <w:rFonts w:hint="default"/>
      </w:rPr>
    </w:lvl>
    <w:lvl w:ilvl="1" w:tplc="08A4F716" w:tentative="1">
      <w:start w:val="1"/>
      <w:numFmt w:val="lowerLetter"/>
      <w:lvlText w:val="%2."/>
      <w:lvlJc w:val="left"/>
      <w:pPr>
        <w:tabs>
          <w:tab w:val="num" w:pos="1440"/>
        </w:tabs>
        <w:ind w:left="1440" w:hanging="360"/>
      </w:pPr>
    </w:lvl>
    <w:lvl w:ilvl="2" w:tplc="B3928430" w:tentative="1">
      <w:start w:val="1"/>
      <w:numFmt w:val="lowerRoman"/>
      <w:lvlText w:val="%3."/>
      <w:lvlJc w:val="right"/>
      <w:pPr>
        <w:tabs>
          <w:tab w:val="num" w:pos="2160"/>
        </w:tabs>
        <w:ind w:left="2160" w:hanging="180"/>
      </w:pPr>
    </w:lvl>
    <w:lvl w:ilvl="3" w:tplc="9CA271A6" w:tentative="1">
      <w:start w:val="1"/>
      <w:numFmt w:val="decimal"/>
      <w:lvlText w:val="%4."/>
      <w:lvlJc w:val="left"/>
      <w:pPr>
        <w:tabs>
          <w:tab w:val="num" w:pos="2880"/>
        </w:tabs>
        <w:ind w:left="2880" w:hanging="360"/>
      </w:pPr>
    </w:lvl>
    <w:lvl w:ilvl="4" w:tplc="8BB2CBA8" w:tentative="1">
      <w:start w:val="1"/>
      <w:numFmt w:val="lowerLetter"/>
      <w:lvlText w:val="%5."/>
      <w:lvlJc w:val="left"/>
      <w:pPr>
        <w:tabs>
          <w:tab w:val="num" w:pos="3600"/>
        </w:tabs>
        <w:ind w:left="3600" w:hanging="360"/>
      </w:pPr>
    </w:lvl>
    <w:lvl w:ilvl="5" w:tplc="723E3138" w:tentative="1">
      <w:start w:val="1"/>
      <w:numFmt w:val="lowerRoman"/>
      <w:lvlText w:val="%6."/>
      <w:lvlJc w:val="right"/>
      <w:pPr>
        <w:tabs>
          <w:tab w:val="num" w:pos="4320"/>
        </w:tabs>
        <w:ind w:left="4320" w:hanging="180"/>
      </w:pPr>
    </w:lvl>
    <w:lvl w:ilvl="6" w:tplc="912A5AE8" w:tentative="1">
      <w:start w:val="1"/>
      <w:numFmt w:val="decimal"/>
      <w:lvlText w:val="%7."/>
      <w:lvlJc w:val="left"/>
      <w:pPr>
        <w:tabs>
          <w:tab w:val="num" w:pos="5040"/>
        </w:tabs>
        <w:ind w:left="5040" w:hanging="360"/>
      </w:pPr>
    </w:lvl>
    <w:lvl w:ilvl="7" w:tplc="CCA8CCBA" w:tentative="1">
      <w:start w:val="1"/>
      <w:numFmt w:val="lowerLetter"/>
      <w:lvlText w:val="%8."/>
      <w:lvlJc w:val="left"/>
      <w:pPr>
        <w:tabs>
          <w:tab w:val="num" w:pos="5760"/>
        </w:tabs>
        <w:ind w:left="5760" w:hanging="360"/>
      </w:pPr>
    </w:lvl>
    <w:lvl w:ilvl="8" w:tplc="8A521782" w:tentative="1">
      <w:start w:val="1"/>
      <w:numFmt w:val="lowerRoman"/>
      <w:lvlText w:val="%9."/>
      <w:lvlJc w:val="right"/>
      <w:pPr>
        <w:tabs>
          <w:tab w:val="num" w:pos="6480"/>
        </w:tabs>
        <w:ind w:left="6480" w:hanging="180"/>
      </w:pPr>
    </w:lvl>
  </w:abstractNum>
  <w:abstractNum w:abstractNumId="14">
    <w:nsid w:val="2C323A6C"/>
    <w:multiLevelType w:val="singleLevel"/>
    <w:tmpl w:val="E68AC67C"/>
    <w:lvl w:ilvl="0">
      <w:start w:val="1"/>
      <w:numFmt w:val="lowerLetter"/>
      <w:lvlText w:val="(%1)"/>
      <w:lvlJc w:val="left"/>
      <w:pPr>
        <w:tabs>
          <w:tab w:val="num" w:pos="1224"/>
        </w:tabs>
        <w:ind w:left="1224" w:hanging="360"/>
      </w:pPr>
      <w:rPr>
        <w:rFonts w:hint="default"/>
      </w:rPr>
    </w:lvl>
  </w:abstractNum>
  <w:abstractNum w:abstractNumId="15">
    <w:nsid w:val="31A072DE"/>
    <w:multiLevelType w:val="hybridMultilevel"/>
    <w:tmpl w:val="650E2D82"/>
    <w:lvl w:ilvl="0" w:tplc="39CEDC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C0B42D4"/>
    <w:multiLevelType w:val="hybridMultilevel"/>
    <w:tmpl w:val="E16C75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0E6184"/>
    <w:multiLevelType w:val="hybridMultilevel"/>
    <w:tmpl w:val="B2CA6F80"/>
    <w:lvl w:ilvl="0" w:tplc="E1120582">
      <w:start w:val="5"/>
      <w:numFmt w:val="decimal"/>
      <w:lvlText w:val="%1."/>
      <w:lvlJc w:val="left"/>
      <w:pPr>
        <w:tabs>
          <w:tab w:val="num" w:pos="720"/>
        </w:tabs>
        <w:ind w:left="720" w:hanging="360"/>
      </w:pPr>
      <w:rPr>
        <w:rFonts w:hint="default"/>
      </w:rPr>
    </w:lvl>
    <w:lvl w:ilvl="1" w:tplc="9402BBF4" w:tentative="1">
      <w:start w:val="1"/>
      <w:numFmt w:val="lowerLetter"/>
      <w:lvlText w:val="%2."/>
      <w:lvlJc w:val="left"/>
      <w:pPr>
        <w:tabs>
          <w:tab w:val="num" w:pos="1440"/>
        </w:tabs>
        <w:ind w:left="1440" w:hanging="360"/>
      </w:pPr>
    </w:lvl>
    <w:lvl w:ilvl="2" w:tplc="2CB22DC8" w:tentative="1">
      <w:start w:val="1"/>
      <w:numFmt w:val="lowerRoman"/>
      <w:lvlText w:val="%3."/>
      <w:lvlJc w:val="right"/>
      <w:pPr>
        <w:tabs>
          <w:tab w:val="num" w:pos="2160"/>
        </w:tabs>
        <w:ind w:left="2160" w:hanging="180"/>
      </w:pPr>
    </w:lvl>
    <w:lvl w:ilvl="3" w:tplc="BDE23DFA" w:tentative="1">
      <w:start w:val="1"/>
      <w:numFmt w:val="decimal"/>
      <w:lvlText w:val="%4."/>
      <w:lvlJc w:val="left"/>
      <w:pPr>
        <w:tabs>
          <w:tab w:val="num" w:pos="2880"/>
        </w:tabs>
        <w:ind w:left="2880" w:hanging="360"/>
      </w:pPr>
    </w:lvl>
    <w:lvl w:ilvl="4" w:tplc="0770BD0A" w:tentative="1">
      <w:start w:val="1"/>
      <w:numFmt w:val="lowerLetter"/>
      <w:lvlText w:val="%5."/>
      <w:lvlJc w:val="left"/>
      <w:pPr>
        <w:tabs>
          <w:tab w:val="num" w:pos="3600"/>
        </w:tabs>
        <w:ind w:left="3600" w:hanging="360"/>
      </w:pPr>
    </w:lvl>
    <w:lvl w:ilvl="5" w:tplc="D0026242" w:tentative="1">
      <w:start w:val="1"/>
      <w:numFmt w:val="lowerRoman"/>
      <w:lvlText w:val="%6."/>
      <w:lvlJc w:val="right"/>
      <w:pPr>
        <w:tabs>
          <w:tab w:val="num" w:pos="4320"/>
        </w:tabs>
        <w:ind w:left="4320" w:hanging="180"/>
      </w:pPr>
    </w:lvl>
    <w:lvl w:ilvl="6" w:tplc="ED381D8C" w:tentative="1">
      <w:start w:val="1"/>
      <w:numFmt w:val="decimal"/>
      <w:lvlText w:val="%7."/>
      <w:lvlJc w:val="left"/>
      <w:pPr>
        <w:tabs>
          <w:tab w:val="num" w:pos="5040"/>
        </w:tabs>
        <w:ind w:left="5040" w:hanging="360"/>
      </w:pPr>
    </w:lvl>
    <w:lvl w:ilvl="7" w:tplc="C71892AA" w:tentative="1">
      <w:start w:val="1"/>
      <w:numFmt w:val="lowerLetter"/>
      <w:lvlText w:val="%8."/>
      <w:lvlJc w:val="left"/>
      <w:pPr>
        <w:tabs>
          <w:tab w:val="num" w:pos="5760"/>
        </w:tabs>
        <w:ind w:left="5760" w:hanging="360"/>
      </w:pPr>
    </w:lvl>
    <w:lvl w:ilvl="8" w:tplc="064A93C2" w:tentative="1">
      <w:start w:val="1"/>
      <w:numFmt w:val="lowerRoman"/>
      <w:lvlText w:val="%9."/>
      <w:lvlJc w:val="right"/>
      <w:pPr>
        <w:tabs>
          <w:tab w:val="num" w:pos="6480"/>
        </w:tabs>
        <w:ind w:left="6480" w:hanging="180"/>
      </w:pPr>
    </w:lvl>
  </w:abstractNum>
  <w:abstractNum w:abstractNumId="18">
    <w:nsid w:val="4495577A"/>
    <w:multiLevelType w:val="hybridMultilevel"/>
    <w:tmpl w:val="B756E4E0"/>
    <w:lvl w:ilvl="0" w:tplc="EC96CAE8">
      <w:start w:val="1"/>
      <w:numFmt w:val="lowerLetter"/>
      <w:lvlText w:val="(%1)"/>
      <w:lvlJc w:val="left"/>
      <w:pPr>
        <w:tabs>
          <w:tab w:val="num" w:pos="720"/>
        </w:tabs>
        <w:ind w:left="720" w:hanging="360"/>
      </w:pPr>
      <w:rPr>
        <w:rFonts w:hint="default"/>
      </w:rPr>
    </w:lvl>
    <w:lvl w:ilvl="1" w:tplc="B74AFFC8" w:tentative="1">
      <w:start w:val="1"/>
      <w:numFmt w:val="lowerLetter"/>
      <w:lvlText w:val="%2."/>
      <w:lvlJc w:val="left"/>
      <w:pPr>
        <w:tabs>
          <w:tab w:val="num" w:pos="1440"/>
        </w:tabs>
        <w:ind w:left="1440" w:hanging="360"/>
      </w:pPr>
    </w:lvl>
    <w:lvl w:ilvl="2" w:tplc="2BFCCA7A" w:tentative="1">
      <w:start w:val="1"/>
      <w:numFmt w:val="lowerRoman"/>
      <w:lvlText w:val="%3."/>
      <w:lvlJc w:val="right"/>
      <w:pPr>
        <w:tabs>
          <w:tab w:val="num" w:pos="2160"/>
        </w:tabs>
        <w:ind w:left="2160" w:hanging="180"/>
      </w:pPr>
    </w:lvl>
    <w:lvl w:ilvl="3" w:tplc="3E302F28" w:tentative="1">
      <w:start w:val="1"/>
      <w:numFmt w:val="decimal"/>
      <w:lvlText w:val="%4."/>
      <w:lvlJc w:val="left"/>
      <w:pPr>
        <w:tabs>
          <w:tab w:val="num" w:pos="2880"/>
        </w:tabs>
        <w:ind w:left="2880" w:hanging="360"/>
      </w:pPr>
    </w:lvl>
    <w:lvl w:ilvl="4" w:tplc="9D3CB3FE" w:tentative="1">
      <w:start w:val="1"/>
      <w:numFmt w:val="lowerLetter"/>
      <w:lvlText w:val="%5."/>
      <w:lvlJc w:val="left"/>
      <w:pPr>
        <w:tabs>
          <w:tab w:val="num" w:pos="3600"/>
        </w:tabs>
        <w:ind w:left="3600" w:hanging="360"/>
      </w:pPr>
    </w:lvl>
    <w:lvl w:ilvl="5" w:tplc="B340474E" w:tentative="1">
      <w:start w:val="1"/>
      <w:numFmt w:val="lowerRoman"/>
      <w:lvlText w:val="%6."/>
      <w:lvlJc w:val="right"/>
      <w:pPr>
        <w:tabs>
          <w:tab w:val="num" w:pos="4320"/>
        </w:tabs>
        <w:ind w:left="4320" w:hanging="180"/>
      </w:pPr>
    </w:lvl>
    <w:lvl w:ilvl="6" w:tplc="F83CD03C" w:tentative="1">
      <w:start w:val="1"/>
      <w:numFmt w:val="decimal"/>
      <w:lvlText w:val="%7."/>
      <w:lvlJc w:val="left"/>
      <w:pPr>
        <w:tabs>
          <w:tab w:val="num" w:pos="5040"/>
        </w:tabs>
        <w:ind w:left="5040" w:hanging="360"/>
      </w:pPr>
    </w:lvl>
    <w:lvl w:ilvl="7" w:tplc="26F607D4" w:tentative="1">
      <w:start w:val="1"/>
      <w:numFmt w:val="lowerLetter"/>
      <w:lvlText w:val="%8."/>
      <w:lvlJc w:val="left"/>
      <w:pPr>
        <w:tabs>
          <w:tab w:val="num" w:pos="5760"/>
        </w:tabs>
        <w:ind w:left="5760" w:hanging="360"/>
      </w:pPr>
    </w:lvl>
    <w:lvl w:ilvl="8" w:tplc="A336E07E" w:tentative="1">
      <w:start w:val="1"/>
      <w:numFmt w:val="lowerRoman"/>
      <w:lvlText w:val="%9."/>
      <w:lvlJc w:val="right"/>
      <w:pPr>
        <w:tabs>
          <w:tab w:val="num" w:pos="6480"/>
        </w:tabs>
        <w:ind w:left="6480" w:hanging="180"/>
      </w:pPr>
    </w:lvl>
  </w:abstractNum>
  <w:abstractNum w:abstractNumId="19">
    <w:nsid w:val="4B1D6D3C"/>
    <w:multiLevelType w:val="hybridMultilevel"/>
    <w:tmpl w:val="DEFE5002"/>
    <w:lvl w:ilvl="0" w:tplc="5A5C1114">
      <w:start w:val="1"/>
      <w:numFmt w:val="decimal"/>
      <w:lvlText w:val="%1."/>
      <w:lvlJc w:val="left"/>
      <w:pPr>
        <w:tabs>
          <w:tab w:val="num" w:pos="720"/>
        </w:tabs>
        <w:ind w:left="720" w:hanging="360"/>
      </w:pPr>
      <w:rPr>
        <w:rFonts w:hint="default"/>
      </w:rPr>
    </w:lvl>
    <w:lvl w:ilvl="1" w:tplc="993E4D9A" w:tentative="1">
      <w:start w:val="1"/>
      <w:numFmt w:val="lowerLetter"/>
      <w:lvlText w:val="%2."/>
      <w:lvlJc w:val="left"/>
      <w:pPr>
        <w:tabs>
          <w:tab w:val="num" w:pos="1440"/>
        </w:tabs>
        <w:ind w:left="1440" w:hanging="360"/>
      </w:pPr>
    </w:lvl>
    <w:lvl w:ilvl="2" w:tplc="701E9274" w:tentative="1">
      <w:start w:val="1"/>
      <w:numFmt w:val="lowerRoman"/>
      <w:lvlText w:val="%3."/>
      <w:lvlJc w:val="right"/>
      <w:pPr>
        <w:tabs>
          <w:tab w:val="num" w:pos="2160"/>
        </w:tabs>
        <w:ind w:left="2160" w:hanging="180"/>
      </w:pPr>
    </w:lvl>
    <w:lvl w:ilvl="3" w:tplc="D7D0CE82" w:tentative="1">
      <w:start w:val="1"/>
      <w:numFmt w:val="decimal"/>
      <w:lvlText w:val="%4."/>
      <w:lvlJc w:val="left"/>
      <w:pPr>
        <w:tabs>
          <w:tab w:val="num" w:pos="2880"/>
        </w:tabs>
        <w:ind w:left="2880" w:hanging="360"/>
      </w:pPr>
    </w:lvl>
    <w:lvl w:ilvl="4" w:tplc="0D56EB02" w:tentative="1">
      <w:start w:val="1"/>
      <w:numFmt w:val="lowerLetter"/>
      <w:lvlText w:val="%5."/>
      <w:lvlJc w:val="left"/>
      <w:pPr>
        <w:tabs>
          <w:tab w:val="num" w:pos="3600"/>
        </w:tabs>
        <w:ind w:left="3600" w:hanging="360"/>
      </w:pPr>
    </w:lvl>
    <w:lvl w:ilvl="5" w:tplc="6CB4B044" w:tentative="1">
      <w:start w:val="1"/>
      <w:numFmt w:val="lowerRoman"/>
      <w:lvlText w:val="%6."/>
      <w:lvlJc w:val="right"/>
      <w:pPr>
        <w:tabs>
          <w:tab w:val="num" w:pos="4320"/>
        </w:tabs>
        <w:ind w:left="4320" w:hanging="180"/>
      </w:pPr>
    </w:lvl>
    <w:lvl w:ilvl="6" w:tplc="B87AC7DE" w:tentative="1">
      <w:start w:val="1"/>
      <w:numFmt w:val="decimal"/>
      <w:lvlText w:val="%7."/>
      <w:lvlJc w:val="left"/>
      <w:pPr>
        <w:tabs>
          <w:tab w:val="num" w:pos="5040"/>
        </w:tabs>
        <w:ind w:left="5040" w:hanging="360"/>
      </w:pPr>
    </w:lvl>
    <w:lvl w:ilvl="7" w:tplc="28E4322A" w:tentative="1">
      <w:start w:val="1"/>
      <w:numFmt w:val="lowerLetter"/>
      <w:lvlText w:val="%8."/>
      <w:lvlJc w:val="left"/>
      <w:pPr>
        <w:tabs>
          <w:tab w:val="num" w:pos="5760"/>
        </w:tabs>
        <w:ind w:left="5760" w:hanging="360"/>
      </w:pPr>
    </w:lvl>
    <w:lvl w:ilvl="8" w:tplc="CEA29354" w:tentative="1">
      <w:start w:val="1"/>
      <w:numFmt w:val="lowerRoman"/>
      <w:lvlText w:val="%9."/>
      <w:lvlJc w:val="right"/>
      <w:pPr>
        <w:tabs>
          <w:tab w:val="num" w:pos="6480"/>
        </w:tabs>
        <w:ind w:left="6480" w:hanging="180"/>
      </w:pPr>
    </w:lvl>
  </w:abstractNum>
  <w:abstractNum w:abstractNumId="20">
    <w:nsid w:val="4B75077B"/>
    <w:multiLevelType w:val="hybridMultilevel"/>
    <w:tmpl w:val="003C3ACC"/>
    <w:lvl w:ilvl="0" w:tplc="0130D1B8">
      <w:start w:val="1"/>
      <w:numFmt w:val="decimal"/>
      <w:lvlText w:val="%1."/>
      <w:lvlJc w:val="left"/>
      <w:pPr>
        <w:tabs>
          <w:tab w:val="num" w:pos="1080"/>
        </w:tabs>
        <w:ind w:left="1080" w:hanging="360"/>
      </w:pPr>
      <w:rPr>
        <w:rFonts w:hint="default"/>
      </w:rPr>
    </w:lvl>
    <w:lvl w:ilvl="1" w:tplc="404619A8" w:tentative="1">
      <w:start w:val="1"/>
      <w:numFmt w:val="lowerLetter"/>
      <w:lvlText w:val="%2."/>
      <w:lvlJc w:val="left"/>
      <w:pPr>
        <w:tabs>
          <w:tab w:val="num" w:pos="1800"/>
        </w:tabs>
        <w:ind w:left="1800" w:hanging="360"/>
      </w:pPr>
    </w:lvl>
    <w:lvl w:ilvl="2" w:tplc="ADFACC74" w:tentative="1">
      <w:start w:val="1"/>
      <w:numFmt w:val="lowerRoman"/>
      <w:lvlText w:val="%3."/>
      <w:lvlJc w:val="right"/>
      <w:pPr>
        <w:tabs>
          <w:tab w:val="num" w:pos="2520"/>
        </w:tabs>
        <w:ind w:left="2520" w:hanging="180"/>
      </w:pPr>
    </w:lvl>
    <w:lvl w:ilvl="3" w:tplc="FE6067DE" w:tentative="1">
      <w:start w:val="1"/>
      <w:numFmt w:val="decimal"/>
      <w:lvlText w:val="%4."/>
      <w:lvlJc w:val="left"/>
      <w:pPr>
        <w:tabs>
          <w:tab w:val="num" w:pos="3240"/>
        </w:tabs>
        <w:ind w:left="3240" w:hanging="360"/>
      </w:pPr>
    </w:lvl>
    <w:lvl w:ilvl="4" w:tplc="24308A5E" w:tentative="1">
      <w:start w:val="1"/>
      <w:numFmt w:val="lowerLetter"/>
      <w:lvlText w:val="%5."/>
      <w:lvlJc w:val="left"/>
      <w:pPr>
        <w:tabs>
          <w:tab w:val="num" w:pos="3960"/>
        </w:tabs>
        <w:ind w:left="3960" w:hanging="360"/>
      </w:pPr>
    </w:lvl>
    <w:lvl w:ilvl="5" w:tplc="C486E6F2" w:tentative="1">
      <w:start w:val="1"/>
      <w:numFmt w:val="lowerRoman"/>
      <w:lvlText w:val="%6."/>
      <w:lvlJc w:val="right"/>
      <w:pPr>
        <w:tabs>
          <w:tab w:val="num" w:pos="4680"/>
        </w:tabs>
        <w:ind w:left="4680" w:hanging="180"/>
      </w:pPr>
    </w:lvl>
    <w:lvl w:ilvl="6" w:tplc="96303978" w:tentative="1">
      <w:start w:val="1"/>
      <w:numFmt w:val="decimal"/>
      <w:lvlText w:val="%7."/>
      <w:lvlJc w:val="left"/>
      <w:pPr>
        <w:tabs>
          <w:tab w:val="num" w:pos="5400"/>
        </w:tabs>
        <w:ind w:left="5400" w:hanging="360"/>
      </w:pPr>
    </w:lvl>
    <w:lvl w:ilvl="7" w:tplc="11D689EA" w:tentative="1">
      <w:start w:val="1"/>
      <w:numFmt w:val="lowerLetter"/>
      <w:lvlText w:val="%8."/>
      <w:lvlJc w:val="left"/>
      <w:pPr>
        <w:tabs>
          <w:tab w:val="num" w:pos="6120"/>
        </w:tabs>
        <w:ind w:left="6120" w:hanging="360"/>
      </w:pPr>
    </w:lvl>
    <w:lvl w:ilvl="8" w:tplc="4AD67222" w:tentative="1">
      <w:start w:val="1"/>
      <w:numFmt w:val="lowerRoman"/>
      <w:lvlText w:val="%9."/>
      <w:lvlJc w:val="right"/>
      <w:pPr>
        <w:tabs>
          <w:tab w:val="num" w:pos="6840"/>
        </w:tabs>
        <w:ind w:left="6840" w:hanging="180"/>
      </w:pPr>
    </w:lvl>
  </w:abstractNum>
  <w:abstractNum w:abstractNumId="21">
    <w:nsid w:val="50BA2C58"/>
    <w:multiLevelType w:val="hybridMultilevel"/>
    <w:tmpl w:val="E7288A54"/>
    <w:lvl w:ilvl="0" w:tplc="973A1B56">
      <w:start w:val="1"/>
      <w:numFmt w:val="decimal"/>
      <w:lvlText w:val="%1."/>
      <w:lvlJc w:val="left"/>
      <w:pPr>
        <w:tabs>
          <w:tab w:val="num" w:pos="720"/>
        </w:tabs>
        <w:ind w:left="720" w:hanging="360"/>
      </w:pPr>
      <w:rPr>
        <w:rFonts w:hint="default"/>
      </w:rPr>
    </w:lvl>
    <w:lvl w:ilvl="1" w:tplc="3B22078E" w:tentative="1">
      <w:start w:val="1"/>
      <w:numFmt w:val="lowerLetter"/>
      <w:lvlText w:val="%2."/>
      <w:lvlJc w:val="left"/>
      <w:pPr>
        <w:tabs>
          <w:tab w:val="num" w:pos="1440"/>
        </w:tabs>
        <w:ind w:left="1440" w:hanging="360"/>
      </w:pPr>
    </w:lvl>
    <w:lvl w:ilvl="2" w:tplc="17EAEB58" w:tentative="1">
      <w:start w:val="1"/>
      <w:numFmt w:val="lowerRoman"/>
      <w:lvlText w:val="%3."/>
      <w:lvlJc w:val="right"/>
      <w:pPr>
        <w:tabs>
          <w:tab w:val="num" w:pos="2160"/>
        </w:tabs>
        <w:ind w:left="2160" w:hanging="180"/>
      </w:pPr>
    </w:lvl>
    <w:lvl w:ilvl="3" w:tplc="2E98C72E" w:tentative="1">
      <w:start w:val="1"/>
      <w:numFmt w:val="decimal"/>
      <w:lvlText w:val="%4."/>
      <w:lvlJc w:val="left"/>
      <w:pPr>
        <w:tabs>
          <w:tab w:val="num" w:pos="2880"/>
        </w:tabs>
        <w:ind w:left="2880" w:hanging="360"/>
      </w:pPr>
    </w:lvl>
    <w:lvl w:ilvl="4" w:tplc="C77677C6" w:tentative="1">
      <w:start w:val="1"/>
      <w:numFmt w:val="lowerLetter"/>
      <w:lvlText w:val="%5."/>
      <w:lvlJc w:val="left"/>
      <w:pPr>
        <w:tabs>
          <w:tab w:val="num" w:pos="3600"/>
        </w:tabs>
        <w:ind w:left="3600" w:hanging="360"/>
      </w:pPr>
    </w:lvl>
    <w:lvl w:ilvl="5" w:tplc="88F82CD4" w:tentative="1">
      <w:start w:val="1"/>
      <w:numFmt w:val="lowerRoman"/>
      <w:lvlText w:val="%6."/>
      <w:lvlJc w:val="right"/>
      <w:pPr>
        <w:tabs>
          <w:tab w:val="num" w:pos="4320"/>
        </w:tabs>
        <w:ind w:left="4320" w:hanging="180"/>
      </w:pPr>
    </w:lvl>
    <w:lvl w:ilvl="6" w:tplc="13B6AA18" w:tentative="1">
      <w:start w:val="1"/>
      <w:numFmt w:val="decimal"/>
      <w:lvlText w:val="%7."/>
      <w:lvlJc w:val="left"/>
      <w:pPr>
        <w:tabs>
          <w:tab w:val="num" w:pos="5040"/>
        </w:tabs>
        <w:ind w:left="5040" w:hanging="360"/>
      </w:pPr>
    </w:lvl>
    <w:lvl w:ilvl="7" w:tplc="DD94F26A" w:tentative="1">
      <w:start w:val="1"/>
      <w:numFmt w:val="lowerLetter"/>
      <w:lvlText w:val="%8."/>
      <w:lvlJc w:val="left"/>
      <w:pPr>
        <w:tabs>
          <w:tab w:val="num" w:pos="5760"/>
        </w:tabs>
        <w:ind w:left="5760" w:hanging="360"/>
      </w:pPr>
    </w:lvl>
    <w:lvl w:ilvl="8" w:tplc="50CE7502" w:tentative="1">
      <w:start w:val="1"/>
      <w:numFmt w:val="lowerRoman"/>
      <w:lvlText w:val="%9."/>
      <w:lvlJc w:val="right"/>
      <w:pPr>
        <w:tabs>
          <w:tab w:val="num" w:pos="6480"/>
        </w:tabs>
        <w:ind w:left="6480" w:hanging="180"/>
      </w:pPr>
    </w:lvl>
  </w:abstractNum>
  <w:abstractNum w:abstractNumId="22">
    <w:nsid w:val="514B7753"/>
    <w:multiLevelType w:val="hybridMultilevel"/>
    <w:tmpl w:val="8468F4C6"/>
    <w:lvl w:ilvl="0" w:tplc="C7B8792A">
      <w:start w:val="1"/>
      <w:numFmt w:val="lowerLetter"/>
      <w:lvlText w:val="%1."/>
      <w:lvlJc w:val="left"/>
      <w:pPr>
        <w:tabs>
          <w:tab w:val="num" w:pos="1224"/>
        </w:tabs>
        <w:ind w:left="1224" w:hanging="360"/>
      </w:pPr>
      <w:rPr>
        <w:rFonts w:hint="default"/>
      </w:rPr>
    </w:lvl>
    <w:lvl w:ilvl="1" w:tplc="C9183434" w:tentative="1">
      <w:start w:val="1"/>
      <w:numFmt w:val="lowerLetter"/>
      <w:lvlText w:val="%2."/>
      <w:lvlJc w:val="left"/>
      <w:pPr>
        <w:tabs>
          <w:tab w:val="num" w:pos="1944"/>
        </w:tabs>
        <w:ind w:left="1944" w:hanging="360"/>
      </w:pPr>
    </w:lvl>
    <w:lvl w:ilvl="2" w:tplc="FA682632" w:tentative="1">
      <w:start w:val="1"/>
      <w:numFmt w:val="lowerRoman"/>
      <w:lvlText w:val="%3."/>
      <w:lvlJc w:val="right"/>
      <w:pPr>
        <w:tabs>
          <w:tab w:val="num" w:pos="2664"/>
        </w:tabs>
        <w:ind w:left="2664" w:hanging="180"/>
      </w:pPr>
    </w:lvl>
    <w:lvl w:ilvl="3" w:tplc="A62EE688" w:tentative="1">
      <w:start w:val="1"/>
      <w:numFmt w:val="decimal"/>
      <w:lvlText w:val="%4."/>
      <w:lvlJc w:val="left"/>
      <w:pPr>
        <w:tabs>
          <w:tab w:val="num" w:pos="3384"/>
        </w:tabs>
        <w:ind w:left="3384" w:hanging="360"/>
      </w:pPr>
    </w:lvl>
    <w:lvl w:ilvl="4" w:tplc="B60EA838" w:tentative="1">
      <w:start w:val="1"/>
      <w:numFmt w:val="lowerLetter"/>
      <w:lvlText w:val="%5."/>
      <w:lvlJc w:val="left"/>
      <w:pPr>
        <w:tabs>
          <w:tab w:val="num" w:pos="4104"/>
        </w:tabs>
        <w:ind w:left="4104" w:hanging="360"/>
      </w:pPr>
    </w:lvl>
    <w:lvl w:ilvl="5" w:tplc="FC2E2B0A" w:tentative="1">
      <w:start w:val="1"/>
      <w:numFmt w:val="lowerRoman"/>
      <w:lvlText w:val="%6."/>
      <w:lvlJc w:val="right"/>
      <w:pPr>
        <w:tabs>
          <w:tab w:val="num" w:pos="4824"/>
        </w:tabs>
        <w:ind w:left="4824" w:hanging="180"/>
      </w:pPr>
    </w:lvl>
    <w:lvl w:ilvl="6" w:tplc="6676525E" w:tentative="1">
      <w:start w:val="1"/>
      <w:numFmt w:val="decimal"/>
      <w:lvlText w:val="%7."/>
      <w:lvlJc w:val="left"/>
      <w:pPr>
        <w:tabs>
          <w:tab w:val="num" w:pos="5544"/>
        </w:tabs>
        <w:ind w:left="5544" w:hanging="360"/>
      </w:pPr>
    </w:lvl>
    <w:lvl w:ilvl="7" w:tplc="7108C7D8" w:tentative="1">
      <w:start w:val="1"/>
      <w:numFmt w:val="lowerLetter"/>
      <w:lvlText w:val="%8."/>
      <w:lvlJc w:val="left"/>
      <w:pPr>
        <w:tabs>
          <w:tab w:val="num" w:pos="6264"/>
        </w:tabs>
        <w:ind w:left="6264" w:hanging="360"/>
      </w:pPr>
    </w:lvl>
    <w:lvl w:ilvl="8" w:tplc="4F4A33AC" w:tentative="1">
      <w:start w:val="1"/>
      <w:numFmt w:val="lowerRoman"/>
      <w:lvlText w:val="%9."/>
      <w:lvlJc w:val="right"/>
      <w:pPr>
        <w:tabs>
          <w:tab w:val="num" w:pos="6984"/>
        </w:tabs>
        <w:ind w:left="6984" w:hanging="180"/>
      </w:pPr>
    </w:lvl>
  </w:abstractNum>
  <w:abstractNum w:abstractNumId="23">
    <w:nsid w:val="570E0B26"/>
    <w:multiLevelType w:val="hybridMultilevel"/>
    <w:tmpl w:val="41F6044C"/>
    <w:lvl w:ilvl="0" w:tplc="4F40A35A">
      <w:start w:val="1"/>
      <w:numFmt w:val="upperRoman"/>
      <w:lvlText w:val="%1."/>
      <w:lvlJc w:val="left"/>
      <w:pPr>
        <w:tabs>
          <w:tab w:val="num" w:pos="1080"/>
        </w:tabs>
        <w:ind w:left="1080" w:hanging="720"/>
      </w:pPr>
      <w:rPr>
        <w:rFonts w:hint="default"/>
      </w:rPr>
    </w:lvl>
    <w:lvl w:ilvl="1" w:tplc="46686F3C" w:tentative="1">
      <w:start w:val="1"/>
      <w:numFmt w:val="lowerLetter"/>
      <w:lvlText w:val="%2."/>
      <w:lvlJc w:val="left"/>
      <w:pPr>
        <w:tabs>
          <w:tab w:val="num" w:pos="1440"/>
        </w:tabs>
        <w:ind w:left="1440" w:hanging="360"/>
      </w:pPr>
    </w:lvl>
    <w:lvl w:ilvl="2" w:tplc="E40ADBDC" w:tentative="1">
      <w:start w:val="1"/>
      <w:numFmt w:val="lowerRoman"/>
      <w:lvlText w:val="%3."/>
      <w:lvlJc w:val="right"/>
      <w:pPr>
        <w:tabs>
          <w:tab w:val="num" w:pos="2160"/>
        </w:tabs>
        <w:ind w:left="2160" w:hanging="180"/>
      </w:pPr>
    </w:lvl>
    <w:lvl w:ilvl="3" w:tplc="05D88722" w:tentative="1">
      <w:start w:val="1"/>
      <w:numFmt w:val="decimal"/>
      <w:lvlText w:val="%4."/>
      <w:lvlJc w:val="left"/>
      <w:pPr>
        <w:tabs>
          <w:tab w:val="num" w:pos="2880"/>
        </w:tabs>
        <w:ind w:left="2880" w:hanging="360"/>
      </w:pPr>
    </w:lvl>
    <w:lvl w:ilvl="4" w:tplc="9B1AA4DC" w:tentative="1">
      <w:start w:val="1"/>
      <w:numFmt w:val="lowerLetter"/>
      <w:lvlText w:val="%5."/>
      <w:lvlJc w:val="left"/>
      <w:pPr>
        <w:tabs>
          <w:tab w:val="num" w:pos="3600"/>
        </w:tabs>
        <w:ind w:left="3600" w:hanging="360"/>
      </w:pPr>
    </w:lvl>
    <w:lvl w:ilvl="5" w:tplc="0CFEECF6" w:tentative="1">
      <w:start w:val="1"/>
      <w:numFmt w:val="lowerRoman"/>
      <w:lvlText w:val="%6."/>
      <w:lvlJc w:val="right"/>
      <w:pPr>
        <w:tabs>
          <w:tab w:val="num" w:pos="4320"/>
        </w:tabs>
        <w:ind w:left="4320" w:hanging="180"/>
      </w:pPr>
    </w:lvl>
    <w:lvl w:ilvl="6" w:tplc="31F628F4" w:tentative="1">
      <w:start w:val="1"/>
      <w:numFmt w:val="decimal"/>
      <w:lvlText w:val="%7."/>
      <w:lvlJc w:val="left"/>
      <w:pPr>
        <w:tabs>
          <w:tab w:val="num" w:pos="5040"/>
        </w:tabs>
        <w:ind w:left="5040" w:hanging="360"/>
      </w:pPr>
    </w:lvl>
    <w:lvl w:ilvl="7" w:tplc="A3DCBE48" w:tentative="1">
      <w:start w:val="1"/>
      <w:numFmt w:val="lowerLetter"/>
      <w:lvlText w:val="%8."/>
      <w:lvlJc w:val="left"/>
      <w:pPr>
        <w:tabs>
          <w:tab w:val="num" w:pos="5760"/>
        </w:tabs>
        <w:ind w:left="5760" w:hanging="360"/>
      </w:pPr>
    </w:lvl>
    <w:lvl w:ilvl="8" w:tplc="40A2FA90" w:tentative="1">
      <w:start w:val="1"/>
      <w:numFmt w:val="lowerRoman"/>
      <w:lvlText w:val="%9."/>
      <w:lvlJc w:val="right"/>
      <w:pPr>
        <w:tabs>
          <w:tab w:val="num" w:pos="6480"/>
        </w:tabs>
        <w:ind w:left="6480" w:hanging="180"/>
      </w:pPr>
    </w:lvl>
  </w:abstractNum>
  <w:abstractNum w:abstractNumId="24">
    <w:nsid w:val="57F76B68"/>
    <w:multiLevelType w:val="hybridMultilevel"/>
    <w:tmpl w:val="81A4F970"/>
    <w:lvl w:ilvl="0" w:tplc="18C804CC">
      <w:start w:val="1"/>
      <w:numFmt w:val="decimal"/>
      <w:lvlText w:val="%1."/>
      <w:lvlJc w:val="left"/>
      <w:pPr>
        <w:tabs>
          <w:tab w:val="num" w:pos="720"/>
        </w:tabs>
        <w:ind w:left="720" w:hanging="360"/>
      </w:pPr>
      <w:rPr>
        <w:rFonts w:hint="default"/>
        <w:b w:val="0"/>
        <w:u w:val="none"/>
      </w:rPr>
    </w:lvl>
    <w:lvl w:ilvl="1" w:tplc="4DAAC706">
      <w:start w:val="1"/>
      <w:numFmt w:val="upperLetter"/>
      <w:lvlText w:val="%2."/>
      <w:lvlJc w:val="left"/>
      <w:pPr>
        <w:tabs>
          <w:tab w:val="num" w:pos="1440"/>
        </w:tabs>
        <w:ind w:left="1440" w:hanging="360"/>
      </w:pPr>
      <w:rPr>
        <w:rFonts w:hint="default"/>
      </w:rPr>
    </w:lvl>
    <w:lvl w:ilvl="2" w:tplc="A5789E44" w:tentative="1">
      <w:start w:val="1"/>
      <w:numFmt w:val="lowerRoman"/>
      <w:lvlText w:val="%3."/>
      <w:lvlJc w:val="right"/>
      <w:pPr>
        <w:tabs>
          <w:tab w:val="num" w:pos="2160"/>
        </w:tabs>
        <w:ind w:left="2160" w:hanging="180"/>
      </w:pPr>
    </w:lvl>
    <w:lvl w:ilvl="3" w:tplc="1C3A6084" w:tentative="1">
      <w:start w:val="1"/>
      <w:numFmt w:val="decimal"/>
      <w:lvlText w:val="%4."/>
      <w:lvlJc w:val="left"/>
      <w:pPr>
        <w:tabs>
          <w:tab w:val="num" w:pos="2880"/>
        </w:tabs>
        <w:ind w:left="2880" w:hanging="360"/>
      </w:pPr>
    </w:lvl>
    <w:lvl w:ilvl="4" w:tplc="4036DE5A" w:tentative="1">
      <w:start w:val="1"/>
      <w:numFmt w:val="lowerLetter"/>
      <w:lvlText w:val="%5."/>
      <w:lvlJc w:val="left"/>
      <w:pPr>
        <w:tabs>
          <w:tab w:val="num" w:pos="3600"/>
        </w:tabs>
        <w:ind w:left="3600" w:hanging="360"/>
      </w:pPr>
    </w:lvl>
    <w:lvl w:ilvl="5" w:tplc="A6F2434E" w:tentative="1">
      <w:start w:val="1"/>
      <w:numFmt w:val="lowerRoman"/>
      <w:lvlText w:val="%6."/>
      <w:lvlJc w:val="right"/>
      <w:pPr>
        <w:tabs>
          <w:tab w:val="num" w:pos="4320"/>
        </w:tabs>
        <w:ind w:left="4320" w:hanging="180"/>
      </w:pPr>
    </w:lvl>
    <w:lvl w:ilvl="6" w:tplc="90884C1E" w:tentative="1">
      <w:start w:val="1"/>
      <w:numFmt w:val="decimal"/>
      <w:lvlText w:val="%7."/>
      <w:lvlJc w:val="left"/>
      <w:pPr>
        <w:tabs>
          <w:tab w:val="num" w:pos="5040"/>
        </w:tabs>
        <w:ind w:left="5040" w:hanging="360"/>
      </w:pPr>
    </w:lvl>
    <w:lvl w:ilvl="7" w:tplc="8D7A0E78" w:tentative="1">
      <w:start w:val="1"/>
      <w:numFmt w:val="lowerLetter"/>
      <w:lvlText w:val="%8."/>
      <w:lvlJc w:val="left"/>
      <w:pPr>
        <w:tabs>
          <w:tab w:val="num" w:pos="5760"/>
        </w:tabs>
        <w:ind w:left="5760" w:hanging="360"/>
      </w:pPr>
    </w:lvl>
    <w:lvl w:ilvl="8" w:tplc="75B87332" w:tentative="1">
      <w:start w:val="1"/>
      <w:numFmt w:val="lowerRoman"/>
      <w:lvlText w:val="%9."/>
      <w:lvlJc w:val="right"/>
      <w:pPr>
        <w:tabs>
          <w:tab w:val="num" w:pos="6480"/>
        </w:tabs>
        <w:ind w:left="6480" w:hanging="180"/>
      </w:pPr>
    </w:lvl>
  </w:abstractNum>
  <w:abstractNum w:abstractNumId="25">
    <w:nsid w:val="5F1272F1"/>
    <w:multiLevelType w:val="hybridMultilevel"/>
    <w:tmpl w:val="F3A0CB52"/>
    <w:lvl w:ilvl="0" w:tplc="9ABA3BC8">
      <w:start w:val="3"/>
      <w:numFmt w:val="bullet"/>
      <w:lvlText w:val="—"/>
      <w:lvlJc w:val="left"/>
      <w:pPr>
        <w:tabs>
          <w:tab w:val="num" w:pos="720"/>
        </w:tabs>
        <w:ind w:left="720" w:hanging="360"/>
      </w:pPr>
      <w:rPr>
        <w:rFonts w:ascii="Times New Roman" w:eastAsia="Times New Roman" w:hAnsi="Times New Roman" w:cs="Times New Roman" w:hint="default"/>
      </w:rPr>
    </w:lvl>
    <w:lvl w:ilvl="1" w:tplc="CF4C21D6" w:tentative="1">
      <w:start w:val="1"/>
      <w:numFmt w:val="bullet"/>
      <w:lvlText w:val="o"/>
      <w:lvlJc w:val="left"/>
      <w:pPr>
        <w:tabs>
          <w:tab w:val="num" w:pos="1440"/>
        </w:tabs>
        <w:ind w:left="1440" w:hanging="360"/>
      </w:pPr>
      <w:rPr>
        <w:rFonts w:ascii="Courier New" w:hAnsi="Courier New" w:hint="default"/>
      </w:rPr>
    </w:lvl>
    <w:lvl w:ilvl="2" w:tplc="81306F86" w:tentative="1">
      <w:start w:val="1"/>
      <w:numFmt w:val="bullet"/>
      <w:lvlText w:val=""/>
      <w:lvlJc w:val="left"/>
      <w:pPr>
        <w:tabs>
          <w:tab w:val="num" w:pos="2160"/>
        </w:tabs>
        <w:ind w:left="2160" w:hanging="360"/>
      </w:pPr>
      <w:rPr>
        <w:rFonts w:ascii="Wingdings" w:hAnsi="Wingdings" w:hint="default"/>
      </w:rPr>
    </w:lvl>
    <w:lvl w:ilvl="3" w:tplc="0BB8D852" w:tentative="1">
      <w:start w:val="1"/>
      <w:numFmt w:val="bullet"/>
      <w:lvlText w:val=""/>
      <w:lvlJc w:val="left"/>
      <w:pPr>
        <w:tabs>
          <w:tab w:val="num" w:pos="2880"/>
        </w:tabs>
        <w:ind w:left="2880" w:hanging="360"/>
      </w:pPr>
      <w:rPr>
        <w:rFonts w:ascii="Symbol" w:hAnsi="Symbol" w:hint="default"/>
      </w:rPr>
    </w:lvl>
    <w:lvl w:ilvl="4" w:tplc="51221524" w:tentative="1">
      <w:start w:val="1"/>
      <w:numFmt w:val="bullet"/>
      <w:lvlText w:val="o"/>
      <w:lvlJc w:val="left"/>
      <w:pPr>
        <w:tabs>
          <w:tab w:val="num" w:pos="3600"/>
        </w:tabs>
        <w:ind w:left="3600" w:hanging="360"/>
      </w:pPr>
      <w:rPr>
        <w:rFonts w:ascii="Courier New" w:hAnsi="Courier New" w:hint="default"/>
      </w:rPr>
    </w:lvl>
    <w:lvl w:ilvl="5" w:tplc="5CD8233A" w:tentative="1">
      <w:start w:val="1"/>
      <w:numFmt w:val="bullet"/>
      <w:lvlText w:val=""/>
      <w:lvlJc w:val="left"/>
      <w:pPr>
        <w:tabs>
          <w:tab w:val="num" w:pos="4320"/>
        </w:tabs>
        <w:ind w:left="4320" w:hanging="360"/>
      </w:pPr>
      <w:rPr>
        <w:rFonts w:ascii="Wingdings" w:hAnsi="Wingdings" w:hint="default"/>
      </w:rPr>
    </w:lvl>
    <w:lvl w:ilvl="6" w:tplc="F064AEFE" w:tentative="1">
      <w:start w:val="1"/>
      <w:numFmt w:val="bullet"/>
      <w:lvlText w:val=""/>
      <w:lvlJc w:val="left"/>
      <w:pPr>
        <w:tabs>
          <w:tab w:val="num" w:pos="5040"/>
        </w:tabs>
        <w:ind w:left="5040" w:hanging="360"/>
      </w:pPr>
      <w:rPr>
        <w:rFonts w:ascii="Symbol" w:hAnsi="Symbol" w:hint="default"/>
      </w:rPr>
    </w:lvl>
    <w:lvl w:ilvl="7" w:tplc="C0B67B42" w:tentative="1">
      <w:start w:val="1"/>
      <w:numFmt w:val="bullet"/>
      <w:lvlText w:val="o"/>
      <w:lvlJc w:val="left"/>
      <w:pPr>
        <w:tabs>
          <w:tab w:val="num" w:pos="5760"/>
        </w:tabs>
        <w:ind w:left="5760" w:hanging="360"/>
      </w:pPr>
      <w:rPr>
        <w:rFonts w:ascii="Courier New" w:hAnsi="Courier New" w:hint="default"/>
      </w:rPr>
    </w:lvl>
    <w:lvl w:ilvl="8" w:tplc="0F2C6F7C" w:tentative="1">
      <w:start w:val="1"/>
      <w:numFmt w:val="bullet"/>
      <w:lvlText w:val=""/>
      <w:lvlJc w:val="left"/>
      <w:pPr>
        <w:tabs>
          <w:tab w:val="num" w:pos="6480"/>
        </w:tabs>
        <w:ind w:left="6480" w:hanging="360"/>
      </w:pPr>
      <w:rPr>
        <w:rFonts w:ascii="Wingdings" w:hAnsi="Wingdings" w:hint="default"/>
      </w:rPr>
    </w:lvl>
  </w:abstractNum>
  <w:abstractNum w:abstractNumId="26">
    <w:nsid w:val="5FD94053"/>
    <w:multiLevelType w:val="hybridMultilevel"/>
    <w:tmpl w:val="EDF43B2A"/>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9D0DF5"/>
    <w:multiLevelType w:val="hybridMultilevel"/>
    <w:tmpl w:val="385EFC74"/>
    <w:lvl w:ilvl="0" w:tplc="AD78661A">
      <w:start w:val="3"/>
      <w:numFmt w:val="upperRoman"/>
      <w:lvlText w:val="%1."/>
      <w:lvlJc w:val="left"/>
      <w:pPr>
        <w:tabs>
          <w:tab w:val="num" w:pos="1080"/>
        </w:tabs>
        <w:ind w:left="1080" w:hanging="720"/>
      </w:pPr>
      <w:rPr>
        <w:rFonts w:hint="default"/>
      </w:rPr>
    </w:lvl>
    <w:lvl w:ilvl="1" w:tplc="7B12EE9C" w:tentative="1">
      <w:start w:val="1"/>
      <w:numFmt w:val="lowerLetter"/>
      <w:lvlText w:val="%2."/>
      <w:lvlJc w:val="left"/>
      <w:pPr>
        <w:tabs>
          <w:tab w:val="num" w:pos="1440"/>
        </w:tabs>
        <w:ind w:left="1440" w:hanging="360"/>
      </w:pPr>
    </w:lvl>
    <w:lvl w:ilvl="2" w:tplc="5B0A2A2E" w:tentative="1">
      <w:start w:val="1"/>
      <w:numFmt w:val="lowerRoman"/>
      <w:lvlText w:val="%3."/>
      <w:lvlJc w:val="right"/>
      <w:pPr>
        <w:tabs>
          <w:tab w:val="num" w:pos="2160"/>
        </w:tabs>
        <w:ind w:left="2160" w:hanging="180"/>
      </w:pPr>
    </w:lvl>
    <w:lvl w:ilvl="3" w:tplc="6AFA8E6E" w:tentative="1">
      <w:start w:val="1"/>
      <w:numFmt w:val="decimal"/>
      <w:lvlText w:val="%4."/>
      <w:lvlJc w:val="left"/>
      <w:pPr>
        <w:tabs>
          <w:tab w:val="num" w:pos="2880"/>
        </w:tabs>
        <w:ind w:left="2880" w:hanging="360"/>
      </w:pPr>
    </w:lvl>
    <w:lvl w:ilvl="4" w:tplc="8A066B40" w:tentative="1">
      <w:start w:val="1"/>
      <w:numFmt w:val="lowerLetter"/>
      <w:lvlText w:val="%5."/>
      <w:lvlJc w:val="left"/>
      <w:pPr>
        <w:tabs>
          <w:tab w:val="num" w:pos="3600"/>
        </w:tabs>
        <w:ind w:left="3600" w:hanging="360"/>
      </w:pPr>
    </w:lvl>
    <w:lvl w:ilvl="5" w:tplc="179401BC" w:tentative="1">
      <w:start w:val="1"/>
      <w:numFmt w:val="lowerRoman"/>
      <w:lvlText w:val="%6."/>
      <w:lvlJc w:val="right"/>
      <w:pPr>
        <w:tabs>
          <w:tab w:val="num" w:pos="4320"/>
        </w:tabs>
        <w:ind w:left="4320" w:hanging="180"/>
      </w:pPr>
    </w:lvl>
    <w:lvl w:ilvl="6" w:tplc="081EBE38" w:tentative="1">
      <w:start w:val="1"/>
      <w:numFmt w:val="decimal"/>
      <w:lvlText w:val="%7."/>
      <w:lvlJc w:val="left"/>
      <w:pPr>
        <w:tabs>
          <w:tab w:val="num" w:pos="5040"/>
        </w:tabs>
        <w:ind w:left="5040" w:hanging="360"/>
      </w:pPr>
    </w:lvl>
    <w:lvl w:ilvl="7" w:tplc="FAAA03FA" w:tentative="1">
      <w:start w:val="1"/>
      <w:numFmt w:val="lowerLetter"/>
      <w:lvlText w:val="%8."/>
      <w:lvlJc w:val="left"/>
      <w:pPr>
        <w:tabs>
          <w:tab w:val="num" w:pos="5760"/>
        </w:tabs>
        <w:ind w:left="5760" w:hanging="360"/>
      </w:pPr>
    </w:lvl>
    <w:lvl w:ilvl="8" w:tplc="F5C4E612" w:tentative="1">
      <w:start w:val="1"/>
      <w:numFmt w:val="lowerRoman"/>
      <w:lvlText w:val="%9."/>
      <w:lvlJc w:val="right"/>
      <w:pPr>
        <w:tabs>
          <w:tab w:val="num" w:pos="6480"/>
        </w:tabs>
        <w:ind w:left="6480" w:hanging="180"/>
      </w:pPr>
    </w:lvl>
  </w:abstractNum>
  <w:abstractNum w:abstractNumId="28">
    <w:nsid w:val="70C759CB"/>
    <w:multiLevelType w:val="hybridMultilevel"/>
    <w:tmpl w:val="2152C65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32363B7"/>
    <w:multiLevelType w:val="hybridMultilevel"/>
    <w:tmpl w:val="A7D05DE2"/>
    <w:lvl w:ilvl="0" w:tplc="89AE6FDE">
      <w:start w:val="1"/>
      <w:numFmt w:val="decimal"/>
      <w:lvlText w:val="%1."/>
      <w:lvlJc w:val="left"/>
      <w:pPr>
        <w:tabs>
          <w:tab w:val="num" w:pos="720"/>
        </w:tabs>
        <w:ind w:left="720" w:hanging="360"/>
      </w:pPr>
      <w:rPr>
        <w:rFonts w:hint="default"/>
      </w:rPr>
    </w:lvl>
    <w:lvl w:ilvl="1" w:tplc="124412CA">
      <w:start w:val="1"/>
      <w:numFmt w:val="upperLetter"/>
      <w:lvlText w:val="%2."/>
      <w:lvlJc w:val="left"/>
      <w:pPr>
        <w:tabs>
          <w:tab w:val="num" w:pos="1440"/>
        </w:tabs>
        <w:ind w:left="1440" w:hanging="360"/>
      </w:pPr>
      <w:rPr>
        <w:rFonts w:hint="default"/>
      </w:rPr>
    </w:lvl>
    <w:lvl w:ilvl="2" w:tplc="482E7546" w:tentative="1">
      <w:start w:val="1"/>
      <w:numFmt w:val="lowerRoman"/>
      <w:lvlText w:val="%3."/>
      <w:lvlJc w:val="right"/>
      <w:pPr>
        <w:tabs>
          <w:tab w:val="num" w:pos="2160"/>
        </w:tabs>
        <w:ind w:left="2160" w:hanging="180"/>
      </w:pPr>
    </w:lvl>
    <w:lvl w:ilvl="3" w:tplc="A05C87BC" w:tentative="1">
      <w:start w:val="1"/>
      <w:numFmt w:val="decimal"/>
      <w:lvlText w:val="%4."/>
      <w:lvlJc w:val="left"/>
      <w:pPr>
        <w:tabs>
          <w:tab w:val="num" w:pos="2880"/>
        </w:tabs>
        <w:ind w:left="2880" w:hanging="360"/>
      </w:pPr>
    </w:lvl>
    <w:lvl w:ilvl="4" w:tplc="99FCC310" w:tentative="1">
      <w:start w:val="1"/>
      <w:numFmt w:val="lowerLetter"/>
      <w:lvlText w:val="%5."/>
      <w:lvlJc w:val="left"/>
      <w:pPr>
        <w:tabs>
          <w:tab w:val="num" w:pos="3600"/>
        </w:tabs>
        <w:ind w:left="3600" w:hanging="360"/>
      </w:pPr>
    </w:lvl>
    <w:lvl w:ilvl="5" w:tplc="E07EDD26" w:tentative="1">
      <w:start w:val="1"/>
      <w:numFmt w:val="lowerRoman"/>
      <w:lvlText w:val="%6."/>
      <w:lvlJc w:val="right"/>
      <w:pPr>
        <w:tabs>
          <w:tab w:val="num" w:pos="4320"/>
        </w:tabs>
        <w:ind w:left="4320" w:hanging="180"/>
      </w:pPr>
    </w:lvl>
    <w:lvl w:ilvl="6" w:tplc="A5D6AE44" w:tentative="1">
      <w:start w:val="1"/>
      <w:numFmt w:val="decimal"/>
      <w:lvlText w:val="%7."/>
      <w:lvlJc w:val="left"/>
      <w:pPr>
        <w:tabs>
          <w:tab w:val="num" w:pos="5040"/>
        </w:tabs>
        <w:ind w:left="5040" w:hanging="360"/>
      </w:pPr>
    </w:lvl>
    <w:lvl w:ilvl="7" w:tplc="0FDCB930" w:tentative="1">
      <w:start w:val="1"/>
      <w:numFmt w:val="lowerLetter"/>
      <w:lvlText w:val="%8."/>
      <w:lvlJc w:val="left"/>
      <w:pPr>
        <w:tabs>
          <w:tab w:val="num" w:pos="5760"/>
        </w:tabs>
        <w:ind w:left="5760" w:hanging="360"/>
      </w:pPr>
    </w:lvl>
    <w:lvl w:ilvl="8" w:tplc="E6469DA2" w:tentative="1">
      <w:start w:val="1"/>
      <w:numFmt w:val="lowerRoman"/>
      <w:lvlText w:val="%9."/>
      <w:lvlJc w:val="right"/>
      <w:pPr>
        <w:tabs>
          <w:tab w:val="num" w:pos="6480"/>
        </w:tabs>
        <w:ind w:left="6480" w:hanging="180"/>
      </w:pPr>
    </w:lvl>
  </w:abstractNum>
  <w:abstractNum w:abstractNumId="30">
    <w:nsid w:val="73D46356"/>
    <w:multiLevelType w:val="hybridMultilevel"/>
    <w:tmpl w:val="98B872EA"/>
    <w:lvl w:ilvl="0" w:tplc="7B863A02">
      <w:start w:val="3"/>
      <w:numFmt w:val="upperLetter"/>
      <w:lvlText w:val="%1."/>
      <w:lvlJc w:val="left"/>
      <w:pPr>
        <w:tabs>
          <w:tab w:val="num" w:pos="720"/>
        </w:tabs>
        <w:ind w:left="720" w:hanging="360"/>
      </w:pPr>
      <w:rPr>
        <w:rFonts w:hint="default"/>
      </w:rPr>
    </w:lvl>
    <w:lvl w:ilvl="1" w:tplc="E1B6C732" w:tentative="1">
      <w:start w:val="1"/>
      <w:numFmt w:val="lowerLetter"/>
      <w:lvlText w:val="%2."/>
      <w:lvlJc w:val="left"/>
      <w:pPr>
        <w:tabs>
          <w:tab w:val="num" w:pos="1440"/>
        </w:tabs>
        <w:ind w:left="1440" w:hanging="360"/>
      </w:pPr>
    </w:lvl>
    <w:lvl w:ilvl="2" w:tplc="6A98BD8A" w:tentative="1">
      <w:start w:val="1"/>
      <w:numFmt w:val="lowerRoman"/>
      <w:lvlText w:val="%3."/>
      <w:lvlJc w:val="right"/>
      <w:pPr>
        <w:tabs>
          <w:tab w:val="num" w:pos="2160"/>
        </w:tabs>
        <w:ind w:left="2160" w:hanging="180"/>
      </w:pPr>
    </w:lvl>
    <w:lvl w:ilvl="3" w:tplc="FF7E4818" w:tentative="1">
      <w:start w:val="1"/>
      <w:numFmt w:val="decimal"/>
      <w:lvlText w:val="%4."/>
      <w:lvlJc w:val="left"/>
      <w:pPr>
        <w:tabs>
          <w:tab w:val="num" w:pos="2880"/>
        </w:tabs>
        <w:ind w:left="2880" w:hanging="360"/>
      </w:pPr>
    </w:lvl>
    <w:lvl w:ilvl="4" w:tplc="1D86227A" w:tentative="1">
      <w:start w:val="1"/>
      <w:numFmt w:val="lowerLetter"/>
      <w:lvlText w:val="%5."/>
      <w:lvlJc w:val="left"/>
      <w:pPr>
        <w:tabs>
          <w:tab w:val="num" w:pos="3600"/>
        </w:tabs>
        <w:ind w:left="3600" w:hanging="360"/>
      </w:pPr>
    </w:lvl>
    <w:lvl w:ilvl="5" w:tplc="12DCDC42" w:tentative="1">
      <w:start w:val="1"/>
      <w:numFmt w:val="lowerRoman"/>
      <w:lvlText w:val="%6."/>
      <w:lvlJc w:val="right"/>
      <w:pPr>
        <w:tabs>
          <w:tab w:val="num" w:pos="4320"/>
        </w:tabs>
        <w:ind w:left="4320" w:hanging="180"/>
      </w:pPr>
    </w:lvl>
    <w:lvl w:ilvl="6" w:tplc="810870A2" w:tentative="1">
      <w:start w:val="1"/>
      <w:numFmt w:val="decimal"/>
      <w:lvlText w:val="%7."/>
      <w:lvlJc w:val="left"/>
      <w:pPr>
        <w:tabs>
          <w:tab w:val="num" w:pos="5040"/>
        </w:tabs>
        <w:ind w:left="5040" w:hanging="360"/>
      </w:pPr>
    </w:lvl>
    <w:lvl w:ilvl="7" w:tplc="75104038" w:tentative="1">
      <w:start w:val="1"/>
      <w:numFmt w:val="lowerLetter"/>
      <w:lvlText w:val="%8."/>
      <w:lvlJc w:val="left"/>
      <w:pPr>
        <w:tabs>
          <w:tab w:val="num" w:pos="5760"/>
        </w:tabs>
        <w:ind w:left="5760" w:hanging="360"/>
      </w:pPr>
    </w:lvl>
    <w:lvl w:ilvl="8" w:tplc="27B0DC12" w:tentative="1">
      <w:start w:val="1"/>
      <w:numFmt w:val="lowerRoman"/>
      <w:lvlText w:val="%9."/>
      <w:lvlJc w:val="right"/>
      <w:pPr>
        <w:tabs>
          <w:tab w:val="num" w:pos="6480"/>
        </w:tabs>
        <w:ind w:left="6480" w:hanging="180"/>
      </w:pPr>
    </w:lvl>
  </w:abstractNum>
  <w:abstractNum w:abstractNumId="31">
    <w:nsid w:val="74B75399"/>
    <w:multiLevelType w:val="hybridMultilevel"/>
    <w:tmpl w:val="4A668818"/>
    <w:lvl w:ilvl="0" w:tplc="A06006A6">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91159E4"/>
    <w:multiLevelType w:val="hybridMultilevel"/>
    <w:tmpl w:val="6EA6324A"/>
    <w:lvl w:ilvl="0" w:tplc="5952F212">
      <w:start w:val="1"/>
      <w:numFmt w:val="decimal"/>
      <w:lvlText w:val="%1."/>
      <w:lvlJc w:val="left"/>
      <w:pPr>
        <w:tabs>
          <w:tab w:val="num" w:pos="900"/>
        </w:tabs>
        <w:ind w:left="900" w:hanging="360"/>
      </w:pPr>
      <w:rPr>
        <w:rFonts w:hint="default"/>
      </w:rPr>
    </w:lvl>
    <w:lvl w:ilvl="1" w:tplc="54D4A2EA">
      <w:start w:val="1"/>
      <w:numFmt w:val="lowerLetter"/>
      <w:lvlText w:val="(%2)"/>
      <w:lvlJc w:val="left"/>
      <w:pPr>
        <w:tabs>
          <w:tab w:val="num" w:pos="1620"/>
        </w:tabs>
        <w:ind w:left="1620" w:hanging="360"/>
      </w:pPr>
      <w:rPr>
        <w:rFonts w:hint="default"/>
      </w:rPr>
    </w:lvl>
    <w:lvl w:ilvl="2" w:tplc="8684EB0A">
      <w:start w:val="1"/>
      <w:numFmt w:val="upperLetter"/>
      <w:lvlText w:val="%3."/>
      <w:lvlJc w:val="left"/>
      <w:pPr>
        <w:tabs>
          <w:tab w:val="num" w:pos="2520"/>
        </w:tabs>
        <w:ind w:left="2520" w:hanging="360"/>
      </w:pPr>
      <w:rPr>
        <w:rFonts w:hint="default"/>
      </w:rPr>
    </w:lvl>
    <w:lvl w:ilvl="3" w:tplc="80443130" w:tentative="1">
      <w:start w:val="1"/>
      <w:numFmt w:val="decimal"/>
      <w:lvlText w:val="%4."/>
      <w:lvlJc w:val="left"/>
      <w:pPr>
        <w:tabs>
          <w:tab w:val="num" w:pos="3060"/>
        </w:tabs>
        <w:ind w:left="3060" w:hanging="360"/>
      </w:pPr>
    </w:lvl>
    <w:lvl w:ilvl="4" w:tplc="6B644568" w:tentative="1">
      <w:start w:val="1"/>
      <w:numFmt w:val="lowerLetter"/>
      <w:lvlText w:val="%5."/>
      <w:lvlJc w:val="left"/>
      <w:pPr>
        <w:tabs>
          <w:tab w:val="num" w:pos="3780"/>
        </w:tabs>
        <w:ind w:left="3780" w:hanging="360"/>
      </w:pPr>
    </w:lvl>
    <w:lvl w:ilvl="5" w:tplc="F8265C2A" w:tentative="1">
      <w:start w:val="1"/>
      <w:numFmt w:val="lowerRoman"/>
      <w:lvlText w:val="%6."/>
      <w:lvlJc w:val="right"/>
      <w:pPr>
        <w:tabs>
          <w:tab w:val="num" w:pos="4500"/>
        </w:tabs>
        <w:ind w:left="4500" w:hanging="180"/>
      </w:pPr>
    </w:lvl>
    <w:lvl w:ilvl="6" w:tplc="2234662A" w:tentative="1">
      <w:start w:val="1"/>
      <w:numFmt w:val="decimal"/>
      <w:lvlText w:val="%7."/>
      <w:lvlJc w:val="left"/>
      <w:pPr>
        <w:tabs>
          <w:tab w:val="num" w:pos="5220"/>
        </w:tabs>
        <w:ind w:left="5220" w:hanging="360"/>
      </w:pPr>
    </w:lvl>
    <w:lvl w:ilvl="7" w:tplc="EDA69E22" w:tentative="1">
      <w:start w:val="1"/>
      <w:numFmt w:val="lowerLetter"/>
      <w:lvlText w:val="%8."/>
      <w:lvlJc w:val="left"/>
      <w:pPr>
        <w:tabs>
          <w:tab w:val="num" w:pos="5940"/>
        </w:tabs>
        <w:ind w:left="5940" w:hanging="360"/>
      </w:pPr>
    </w:lvl>
    <w:lvl w:ilvl="8" w:tplc="1AD49F3A" w:tentative="1">
      <w:start w:val="1"/>
      <w:numFmt w:val="lowerRoman"/>
      <w:lvlText w:val="%9."/>
      <w:lvlJc w:val="right"/>
      <w:pPr>
        <w:tabs>
          <w:tab w:val="num" w:pos="6660"/>
        </w:tabs>
        <w:ind w:left="6660" w:hanging="180"/>
      </w:pPr>
    </w:lvl>
  </w:abstractNum>
  <w:abstractNum w:abstractNumId="33">
    <w:nsid w:val="7D6B3468"/>
    <w:multiLevelType w:val="hybridMultilevel"/>
    <w:tmpl w:val="3306C776"/>
    <w:lvl w:ilvl="0" w:tplc="EF38F798">
      <w:start w:val="1"/>
      <w:numFmt w:val="decimal"/>
      <w:lvlText w:val="%1."/>
      <w:lvlJc w:val="left"/>
      <w:pPr>
        <w:tabs>
          <w:tab w:val="num" w:pos="1800"/>
        </w:tabs>
        <w:ind w:left="1800" w:hanging="360"/>
      </w:pPr>
      <w:rPr>
        <w:rFonts w:hint="default"/>
      </w:rPr>
    </w:lvl>
    <w:lvl w:ilvl="1" w:tplc="05CA5D66" w:tentative="1">
      <w:start w:val="1"/>
      <w:numFmt w:val="lowerLetter"/>
      <w:lvlText w:val="%2."/>
      <w:lvlJc w:val="left"/>
      <w:pPr>
        <w:tabs>
          <w:tab w:val="num" w:pos="2520"/>
        </w:tabs>
        <w:ind w:left="2520" w:hanging="360"/>
      </w:pPr>
    </w:lvl>
    <w:lvl w:ilvl="2" w:tplc="A90CBFF0" w:tentative="1">
      <w:start w:val="1"/>
      <w:numFmt w:val="lowerRoman"/>
      <w:lvlText w:val="%3."/>
      <w:lvlJc w:val="right"/>
      <w:pPr>
        <w:tabs>
          <w:tab w:val="num" w:pos="3240"/>
        </w:tabs>
        <w:ind w:left="3240" w:hanging="180"/>
      </w:pPr>
    </w:lvl>
    <w:lvl w:ilvl="3" w:tplc="E054B5F4" w:tentative="1">
      <w:start w:val="1"/>
      <w:numFmt w:val="decimal"/>
      <w:lvlText w:val="%4."/>
      <w:lvlJc w:val="left"/>
      <w:pPr>
        <w:tabs>
          <w:tab w:val="num" w:pos="3960"/>
        </w:tabs>
        <w:ind w:left="3960" w:hanging="360"/>
      </w:pPr>
    </w:lvl>
    <w:lvl w:ilvl="4" w:tplc="0A420B26" w:tentative="1">
      <w:start w:val="1"/>
      <w:numFmt w:val="lowerLetter"/>
      <w:lvlText w:val="%5."/>
      <w:lvlJc w:val="left"/>
      <w:pPr>
        <w:tabs>
          <w:tab w:val="num" w:pos="4680"/>
        </w:tabs>
        <w:ind w:left="4680" w:hanging="360"/>
      </w:pPr>
    </w:lvl>
    <w:lvl w:ilvl="5" w:tplc="289AF570" w:tentative="1">
      <w:start w:val="1"/>
      <w:numFmt w:val="lowerRoman"/>
      <w:lvlText w:val="%6."/>
      <w:lvlJc w:val="right"/>
      <w:pPr>
        <w:tabs>
          <w:tab w:val="num" w:pos="5400"/>
        </w:tabs>
        <w:ind w:left="5400" w:hanging="180"/>
      </w:pPr>
    </w:lvl>
    <w:lvl w:ilvl="6" w:tplc="59B4BAAE" w:tentative="1">
      <w:start w:val="1"/>
      <w:numFmt w:val="decimal"/>
      <w:lvlText w:val="%7."/>
      <w:lvlJc w:val="left"/>
      <w:pPr>
        <w:tabs>
          <w:tab w:val="num" w:pos="6120"/>
        </w:tabs>
        <w:ind w:left="6120" w:hanging="360"/>
      </w:pPr>
    </w:lvl>
    <w:lvl w:ilvl="7" w:tplc="216EFE3A" w:tentative="1">
      <w:start w:val="1"/>
      <w:numFmt w:val="lowerLetter"/>
      <w:lvlText w:val="%8."/>
      <w:lvlJc w:val="left"/>
      <w:pPr>
        <w:tabs>
          <w:tab w:val="num" w:pos="6840"/>
        </w:tabs>
        <w:ind w:left="6840" w:hanging="360"/>
      </w:pPr>
    </w:lvl>
    <w:lvl w:ilvl="8" w:tplc="8550ED38" w:tentative="1">
      <w:start w:val="1"/>
      <w:numFmt w:val="lowerRoman"/>
      <w:lvlText w:val="%9."/>
      <w:lvlJc w:val="right"/>
      <w:pPr>
        <w:tabs>
          <w:tab w:val="num" w:pos="7560"/>
        </w:tabs>
        <w:ind w:left="7560" w:hanging="180"/>
      </w:pPr>
    </w:lvl>
  </w:abstractNum>
  <w:abstractNum w:abstractNumId="34">
    <w:nsid w:val="7FCD1F99"/>
    <w:multiLevelType w:val="hybridMultilevel"/>
    <w:tmpl w:val="0F8848A0"/>
    <w:lvl w:ilvl="0" w:tplc="A6745804">
      <w:start w:val="3"/>
      <w:numFmt w:val="decimal"/>
      <w:lvlText w:val="%1."/>
      <w:lvlJc w:val="left"/>
      <w:pPr>
        <w:tabs>
          <w:tab w:val="num" w:pos="720"/>
        </w:tabs>
        <w:ind w:left="720" w:hanging="360"/>
      </w:pPr>
      <w:rPr>
        <w:rFonts w:hint="default"/>
      </w:rPr>
    </w:lvl>
    <w:lvl w:ilvl="1" w:tplc="1FFC4C48" w:tentative="1">
      <w:start w:val="1"/>
      <w:numFmt w:val="lowerLetter"/>
      <w:lvlText w:val="%2."/>
      <w:lvlJc w:val="left"/>
      <w:pPr>
        <w:tabs>
          <w:tab w:val="num" w:pos="1440"/>
        </w:tabs>
        <w:ind w:left="1440" w:hanging="360"/>
      </w:pPr>
    </w:lvl>
    <w:lvl w:ilvl="2" w:tplc="C9EA8EC8" w:tentative="1">
      <w:start w:val="1"/>
      <w:numFmt w:val="lowerRoman"/>
      <w:lvlText w:val="%3."/>
      <w:lvlJc w:val="right"/>
      <w:pPr>
        <w:tabs>
          <w:tab w:val="num" w:pos="2160"/>
        </w:tabs>
        <w:ind w:left="2160" w:hanging="180"/>
      </w:pPr>
    </w:lvl>
    <w:lvl w:ilvl="3" w:tplc="131C98A0" w:tentative="1">
      <w:start w:val="1"/>
      <w:numFmt w:val="decimal"/>
      <w:lvlText w:val="%4."/>
      <w:lvlJc w:val="left"/>
      <w:pPr>
        <w:tabs>
          <w:tab w:val="num" w:pos="2880"/>
        </w:tabs>
        <w:ind w:left="2880" w:hanging="360"/>
      </w:pPr>
    </w:lvl>
    <w:lvl w:ilvl="4" w:tplc="CE4E2B68" w:tentative="1">
      <w:start w:val="1"/>
      <w:numFmt w:val="lowerLetter"/>
      <w:lvlText w:val="%5."/>
      <w:lvlJc w:val="left"/>
      <w:pPr>
        <w:tabs>
          <w:tab w:val="num" w:pos="3600"/>
        </w:tabs>
        <w:ind w:left="3600" w:hanging="360"/>
      </w:pPr>
    </w:lvl>
    <w:lvl w:ilvl="5" w:tplc="888CF1CA" w:tentative="1">
      <w:start w:val="1"/>
      <w:numFmt w:val="lowerRoman"/>
      <w:lvlText w:val="%6."/>
      <w:lvlJc w:val="right"/>
      <w:pPr>
        <w:tabs>
          <w:tab w:val="num" w:pos="4320"/>
        </w:tabs>
        <w:ind w:left="4320" w:hanging="180"/>
      </w:pPr>
    </w:lvl>
    <w:lvl w:ilvl="6" w:tplc="991E86CA" w:tentative="1">
      <w:start w:val="1"/>
      <w:numFmt w:val="decimal"/>
      <w:lvlText w:val="%7."/>
      <w:lvlJc w:val="left"/>
      <w:pPr>
        <w:tabs>
          <w:tab w:val="num" w:pos="5040"/>
        </w:tabs>
        <w:ind w:left="5040" w:hanging="360"/>
      </w:pPr>
    </w:lvl>
    <w:lvl w:ilvl="7" w:tplc="9E0E29DE" w:tentative="1">
      <w:start w:val="1"/>
      <w:numFmt w:val="lowerLetter"/>
      <w:lvlText w:val="%8."/>
      <w:lvlJc w:val="left"/>
      <w:pPr>
        <w:tabs>
          <w:tab w:val="num" w:pos="5760"/>
        </w:tabs>
        <w:ind w:left="5760" w:hanging="360"/>
      </w:pPr>
    </w:lvl>
    <w:lvl w:ilvl="8" w:tplc="88F0F10E" w:tentative="1">
      <w:start w:val="1"/>
      <w:numFmt w:val="lowerRoman"/>
      <w:lvlText w:val="%9."/>
      <w:lvlJc w:val="right"/>
      <w:pPr>
        <w:tabs>
          <w:tab w:val="num" w:pos="6480"/>
        </w:tabs>
        <w:ind w:left="6480" w:hanging="180"/>
      </w:pPr>
    </w:lvl>
  </w:abstractNum>
  <w:num w:numId="1">
    <w:abstractNumId w:val="23"/>
  </w:num>
  <w:num w:numId="2">
    <w:abstractNumId w:val="8"/>
  </w:num>
  <w:num w:numId="3">
    <w:abstractNumId w:val="9"/>
  </w:num>
  <w:num w:numId="4">
    <w:abstractNumId w:val="11"/>
  </w:num>
  <w:num w:numId="5">
    <w:abstractNumId w:val="13"/>
  </w:num>
  <w:num w:numId="6">
    <w:abstractNumId w:val="21"/>
  </w:num>
  <w:num w:numId="7">
    <w:abstractNumId w:val="10"/>
  </w:num>
  <w:num w:numId="8">
    <w:abstractNumId w:val="7"/>
  </w:num>
  <w:num w:numId="9">
    <w:abstractNumId w:val="18"/>
  </w:num>
  <w:num w:numId="10">
    <w:abstractNumId w:val="29"/>
  </w:num>
  <w:num w:numId="11">
    <w:abstractNumId w:val="7"/>
    <w:lvlOverride w:ilvl="0">
      <w:startOverride w:val="5"/>
    </w:lvlOverride>
  </w:num>
  <w:num w:numId="12">
    <w:abstractNumId w:val="17"/>
  </w:num>
  <w:num w:numId="13">
    <w:abstractNumId w:val="25"/>
  </w:num>
  <w:num w:numId="14">
    <w:abstractNumId w:val="22"/>
  </w:num>
  <w:num w:numId="15">
    <w:abstractNumId w:val="34"/>
  </w:num>
  <w:num w:numId="16">
    <w:abstractNumId w:val="19"/>
  </w:num>
  <w:num w:numId="17">
    <w:abstractNumId w:val="27"/>
  </w:num>
  <w:num w:numId="18">
    <w:abstractNumId w:val="6"/>
  </w:num>
  <w:num w:numId="19">
    <w:abstractNumId w:val="24"/>
  </w:num>
  <w:num w:numId="20">
    <w:abstractNumId w:val="32"/>
  </w:num>
  <w:num w:numId="21">
    <w:abstractNumId w:val="33"/>
  </w:num>
  <w:num w:numId="22">
    <w:abstractNumId w:val="20"/>
  </w:num>
  <w:num w:numId="23">
    <w:abstractNumId w:val="3"/>
  </w:num>
  <w:num w:numId="24">
    <w:abstractNumId w:val="0"/>
    <w:lvlOverride w:ilvl="0">
      <w:startOverride w:val="7"/>
      <w:lvl w:ilvl="0">
        <w:start w:val="7"/>
        <w:numFmt w:val="decimal"/>
        <w:pStyle w:val="Quick1"/>
        <w:lvlText w:val="%1."/>
        <w:lvlJc w:val="left"/>
      </w:lvl>
    </w:lvlOverride>
  </w:num>
  <w:num w:numId="25">
    <w:abstractNumId w:val="1"/>
    <w:lvlOverride w:ilvl="0">
      <w:startOverride w:val="1"/>
      <w:lvl w:ilvl="0">
        <w:start w:val="1"/>
        <w:numFmt w:val="decimal"/>
        <w:pStyle w:val="Quicka"/>
        <w:lvlText w:val="%1."/>
        <w:lvlJc w:val="left"/>
      </w:lvl>
    </w:lvlOverride>
  </w:num>
  <w:num w:numId="26">
    <w:abstractNumId w:val="30"/>
  </w:num>
  <w:num w:numId="27">
    <w:abstractNumId w:val="12"/>
  </w:num>
  <w:num w:numId="28">
    <w:abstractNumId w:val="14"/>
  </w:num>
  <w:num w:numId="29">
    <w:abstractNumId w:val="31"/>
  </w:num>
  <w:num w:numId="30">
    <w:abstractNumId w:val="28"/>
  </w:num>
  <w:num w:numId="31">
    <w:abstractNumId w:val="26"/>
  </w:num>
  <w:num w:numId="32">
    <w:abstractNumId w:val="15"/>
  </w:num>
  <w:num w:numId="33">
    <w:abstractNumId w:val="5"/>
  </w:num>
  <w:num w:numId="34">
    <w:abstractNumId w:val="2"/>
  </w:num>
  <w:num w:numId="35">
    <w:abstractNumId w:val="4"/>
  </w:num>
  <w:num w:numId="3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proofState w:spelling="clean" w:grammar="clean"/>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rsids>
    <w:rsidRoot w:val="00253869"/>
    <w:rsid w:val="00003CF1"/>
    <w:rsid w:val="00067D59"/>
    <w:rsid w:val="000B1981"/>
    <w:rsid w:val="000D5A3F"/>
    <w:rsid w:val="000F6D7C"/>
    <w:rsid w:val="00133792"/>
    <w:rsid w:val="00187032"/>
    <w:rsid w:val="00193991"/>
    <w:rsid w:val="00250326"/>
    <w:rsid w:val="00253869"/>
    <w:rsid w:val="00302EB2"/>
    <w:rsid w:val="00305180"/>
    <w:rsid w:val="003070B4"/>
    <w:rsid w:val="003B52F9"/>
    <w:rsid w:val="00401A34"/>
    <w:rsid w:val="004E69BF"/>
    <w:rsid w:val="00523F55"/>
    <w:rsid w:val="00533AF7"/>
    <w:rsid w:val="0057587F"/>
    <w:rsid w:val="00615AAC"/>
    <w:rsid w:val="00664886"/>
    <w:rsid w:val="006C53E7"/>
    <w:rsid w:val="00701D12"/>
    <w:rsid w:val="007101DF"/>
    <w:rsid w:val="0077626E"/>
    <w:rsid w:val="00804672"/>
    <w:rsid w:val="00852A2C"/>
    <w:rsid w:val="008A3F08"/>
    <w:rsid w:val="008B319A"/>
    <w:rsid w:val="008F2E4B"/>
    <w:rsid w:val="00955CBD"/>
    <w:rsid w:val="009D2783"/>
    <w:rsid w:val="00A84567"/>
    <w:rsid w:val="00A92569"/>
    <w:rsid w:val="00AE53C0"/>
    <w:rsid w:val="00B369AD"/>
    <w:rsid w:val="00B46051"/>
    <w:rsid w:val="00B842A0"/>
    <w:rsid w:val="00BA7957"/>
    <w:rsid w:val="00BB2FC8"/>
    <w:rsid w:val="00C82199"/>
    <w:rsid w:val="00C86F89"/>
    <w:rsid w:val="00CD4094"/>
    <w:rsid w:val="00E559C6"/>
    <w:rsid w:val="00EB0BE6"/>
    <w:rsid w:val="00F266A4"/>
    <w:rsid w:val="00F67714"/>
    <w:rsid w:val="00F72B11"/>
    <w:rsid w:val="00FB2392"/>
    <w:rsid w:val="00FC760E"/>
    <w:rsid w:val="00FC7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08"/>
    <w:rPr>
      <w:sz w:val="24"/>
      <w:szCs w:val="24"/>
    </w:rPr>
  </w:style>
  <w:style w:type="paragraph" w:styleId="Heading1">
    <w:name w:val="heading 1"/>
    <w:basedOn w:val="Normal"/>
    <w:next w:val="Normal"/>
    <w:qFormat/>
    <w:rsid w:val="008A3F08"/>
    <w:pPr>
      <w:keepNext/>
      <w:autoSpaceDE w:val="0"/>
      <w:autoSpaceDN w:val="0"/>
      <w:adjustRightInd w:val="0"/>
      <w:jc w:val="center"/>
      <w:outlineLvl w:val="0"/>
    </w:pPr>
    <w:rPr>
      <w:rFonts w:ascii="TimesNewRoman,Bold" w:hAnsi="TimesNewRoman,Bold" w:cs="Arial"/>
      <w:b/>
      <w:bCs/>
      <w:color w:val="000000"/>
      <w:sz w:val="22"/>
      <w:szCs w:val="22"/>
    </w:rPr>
  </w:style>
  <w:style w:type="paragraph" w:styleId="Heading2">
    <w:name w:val="heading 2"/>
    <w:basedOn w:val="Normal"/>
    <w:next w:val="Normal"/>
    <w:qFormat/>
    <w:rsid w:val="008A3F08"/>
    <w:pPr>
      <w:keepNext/>
      <w:autoSpaceDE w:val="0"/>
      <w:autoSpaceDN w:val="0"/>
      <w:adjustRightInd w:val="0"/>
      <w:jc w:val="center"/>
      <w:outlineLvl w:val="1"/>
    </w:pPr>
    <w:rPr>
      <w:rFonts w:ascii="TimesNewRoman,Bold" w:hAnsi="TimesNewRoman,Bold" w:cs="Arial"/>
      <w:b/>
      <w:bCs/>
      <w:color w:val="000000"/>
      <w:sz w:val="22"/>
      <w:szCs w:val="22"/>
      <w:u w:val="single"/>
    </w:rPr>
  </w:style>
  <w:style w:type="paragraph" w:styleId="Heading3">
    <w:name w:val="heading 3"/>
    <w:basedOn w:val="Normal"/>
    <w:next w:val="Normal"/>
    <w:qFormat/>
    <w:rsid w:val="008A3F08"/>
    <w:pPr>
      <w:keepNext/>
      <w:autoSpaceDE w:val="0"/>
      <w:autoSpaceDN w:val="0"/>
      <w:adjustRightInd w:val="0"/>
      <w:jc w:val="both"/>
      <w:outlineLvl w:val="2"/>
    </w:pPr>
    <w:rPr>
      <w:rFonts w:ascii="TimesNewRoman,Bold" w:hAnsi="TimesNewRoman,Bold" w:cs="Arial"/>
      <w:b/>
      <w:bCs/>
      <w:color w:val="000000"/>
      <w:sz w:val="22"/>
      <w:szCs w:val="22"/>
    </w:rPr>
  </w:style>
  <w:style w:type="paragraph" w:styleId="Heading4">
    <w:name w:val="heading 4"/>
    <w:basedOn w:val="Normal"/>
    <w:next w:val="Normal"/>
    <w:qFormat/>
    <w:rsid w:val="008A3F08"/>
    <w:pPr>
      <w:keepNext/>
      <w:numPr>
        <w:numId w:val="5"/>
      </w:numPr>
      <w:autoSpaceDE w:val="0"/>
      <w:autoSpaceDN w:val="0"/>
      <w:adjustRightInd w:val="0"/>
      <w:ind w:left="360"/>
      <w:jc w:val="both"/>
      <w:outlineLvl w:val="3"/>
    </w:pPr>
    <w:rPr>
      <w:b/>
      <w:bCs/>
      <w:color w:val="000000"/>
      <w:sz w:val="20"/>
      <w:szCs w:val="22"/>
    </w:rPr>
  </w:style>
  <w:style w:type="paragraph" w:styleId="Heading5">
    <w:name w:val="heading 5"/>
    <w:basedOn w:val="Normal"/>
    <w:next w:val="Normal"/>
    <w:qFormat/>
    <w:rsid w:val="008A3F08"/>
    <w:pPr>
      <w:keepNext/>
      <w:autoSpaceDE w:val="0"/>
      <w:autoSpaceDN w:val="0"/>
      <w:adjustRightInd w:val="0"/>
      <w:jc w:val="center"/>
      <w:outlineLvl w:val="4"/>
    </w:pPr>
    <w:rPr>
      <w:b/>
      <w:bCs/>
      <w:color w:val="000000"/>
      <w:sz w:val="20"/>
      <w:szCs w:val="22"/>
    </w:rPr>
  </w:style>
  <w:style w:type="paragraph" w:styleId="Heading6">
    <w:name w:val="heading 6"/>
    <w:basedOn w:val="Normal"/>
    <w:next w:val="Normal"/>
    <w:qFormat/>
    <w:rsid w:val="008A3F08"/>
    <w:pPr>
      <w:keepNext/>
      <w:autoSpaceDE w:val="0"/>
      <w:autoSpaceDN w:val="0"/>
      <w:adjustRightInd w:val="0"/>
      <w:jc w:val="both"/>
      <w:outlineLvl w:val="5"/>
    </w:pPr>
    <w:rPr>
      <w:b/>
      <w:bCs/>
    </w:rPr>
  </w:style>
  <w:style w:type="paragraph" w:styleId="Heading7">
    <w:name w:val="heading 7"/>
    <w:basedOn w:val="Normal"/>
    <w:next w:val="Normal"/>
    <w:qFormat/>
    <w:rsid w:val="008A3F08"/>
    <w:pPr>
      <w:keepNext/>
      <w:autoSpaceDE w:val="0"/>
      <w:autoSpaceDN w:val="0"/>
      <w:adjustRightInd w:val="0"/>
      <w:jc w:val="both"/>
      <w:outlineLvl w:val="6"/>
    </w:pPr>
    <w:rPr>
      <w:b/>
      <w:bCs/>
      <w:color w:val="000000"/>
      <w:sz w:val="20"/>
      <w:szCs w:val="22"/>
    </w:rPr>
  </w:style>
  <w:style w:type="paragraph" w:styleId="Heading8">
    <w:name w:val="heading 8"/>
    <w:basedOn w:val="Normal"/>
    <w:next w:val="Normal"/>
    <w:qFormat/>
    <w:rsid w:val="008A3F08"/>
    <w:pPr>
      <w:keepNext/>
      <w:numPr>
        <w:numId w:val="8"/>
      </w:numPr>
      <w:autoSpaceDE w:val="0"/>
      <w:autoSpaceDN w:val="0"/>
      <w:adjustRightInd w:val="0"/>
      <w:ind w:left="0"/>
      <w:jc w:val="both"/>
      <w:outlineLvl w:val="7"/>
    </w:pPr>
    <w:rPr>
      <w:b/>
      <w:bCs/>
      <w:color w:val="000000"/>
      <w:sz w:val="20"/>
      <w:szCs w:val="22"/>
    </w:rPr>
  </w:style>
  <w:style w:type="paragraph" w:styleId="Heading9">
    <w:name w:val="heading 9"/>
    <w:basedOn w:val="Normal"/>
    <w:next w:val="Normal"/>
    <w:qFormat/>
    <w:rsid w:val="008A3F08"/>
    <w:pPr>
      <w:keepNext/>
      <w:autoSpaceDE w:val="0"/>
      <w:autoSpaceDN w:val="0"/>
      <w:adjustRightInd w:val="0"/>
      <w:jc w:val="both"/>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3F08"/>
    <w:pPr>
      <w:tabs>
        <w:tab w:val="center" w:pos="4320"/>
        <w:tab w:val="right" w:pos="8640"/>
      </w:tabs>
    </w:pPr>
  </w:style>
  <w:style w:type="character" w:styleId="PageNumber">
    <w:name w:val="page number"/>
    <w:basedOn w:val="DefaultParagraphFont"/>
    <w:semiHidden/>
    <w:rsid w:val="008A3F08"/>
  </w:style>
  <w:style w:type="paragraph" w:styleId="BodyText">
    <w:name w:val="Body Text"/>
    <w:basedOn w:val="Normal"/>
    <w:semiHidden/>
    <w:rsid w:val="008A3F08"/>
    <w:pPr>
      <w:autoSpaceDE w:val="0"/>
      <w:autoSpaceDN w:val="0"/>
      <w:adjustRightInd w:val="0"/>
      <w:jc w:val="both"/>
    </w:pPr>
    <w:rPr>
      <w:rFonts w:ascii="TimesNewRoman" w:hAnsi="TimesNewRoman" w:cs="Arial"/>
      <w:color w:val="000000"/>
      <w:sz w:val="22"/>
      <w:szCs w:val="22"/>
    </w:rPr>
  </w:style>
  <w:style w:type="paragraph" w:styleId="BodyTextIndent">
    <w:name w:val="Body Text Indent"/>
    <w:basedOn w:val="Normal"/>
    <w:semiHidden/>
    <w:rsid w:val="008A3F08"/>
    <w:pPr>
      <w:autoSpaceDE w:val="0"/>
      <w:autoSpaceDN w:val="0"/>
      <w:adjustRightInd w:val="0"/>
      <w:ind w:left="864"/>
      <w:jc w:val="both"/>
    </w:pPr>
    <w:rPr>
      <w:color w:val="000000"/>
      <w:sz w:val="20"/>
      <w:szCs w:val="22"/>
    </w:rPr>
  </w:style>
  <w:style w:type="paragraph" w:styleId="BodyText2">
    <w:name w:val="Body Text 2"/>
    <w:basedOn w:val="Normal"/>
    <w:semiHidden/>
    <w:rsid w:val="008A3F08"/>
    <w:pPr>
      <w:autoSpaceDE w:val="0"/>
      <w:autoSpaceDN w:val="0"/>
      <w:adjustRightInd w:val="0"/>
      <w:jc w:val="both"/>
    </w:pPr>
    <w:rPr>
      <w:color w:val="000000"/>
      <w:sz w:val="20"/>
      <w:szCs w:val="22"/>
    </w:rPr>
  </w:style>
  <w:style w:type="paragraph" w:styleId="BodyTextIndent2">
    <w:name w:val="Body Text Indent 2"/>
    <w:basedOn w:val="Normal"/>
    <w:semiHidden/>
    <w:rsid w:val="008A3F08"/>
    <w:pPr>
      <w:autoSpaceDE w:val="0"/>
      <w:autoSpaceDN w:val="0"/>
      <w:adjustRightInd w:val="0"/>
      <w:ind w:left="1008"/>
      <w:jc w:val="both"/>
    </w:pPr>
    <w:rPr>
      <w:color w:val="000000"/>
      <w:sz w:val="20"/>
      <w:szCs w:val="22"/>
    </w:rPr>
  </w:style>
  <w:style w:type="paragraph" w:styleId="Title">
    <w:name w:val="Title"/>
    <w:basedOn w:val="Normal"/>
    <w:qFormat/>
    <w:rsid w:val="008A3F08"/>
    <w:pPr>
      <w:jc w:val="center"/>
    </w:pPr>
    <w:rPr>
      <w:rFonts w:ascii="Arial" w:hAnsi="Arial" w:cs="Arial"/>
      <w:sz w:val="32"/>
    </w:rPr>
  </w:style>
  <w:style w:type="paragraph" w:customStyle="1" w:styleId="Quick1">
    <w:name w:val="Quick 1."/>
    <w:basedOn w:val="Normal"/>
    <w:rsid w:val="008A3F08"/>
    <w:pPr>
      <w:widowControl w:val="0"/>
      <w:numPr>
        <w:numId w:val="24"/>
      </w:numPr>
      <w:ind w:left="450" w:hanging="450"/>
    </w:pPr>
    <w:rPr>
      <w:snapToGrid w:val="0"/>
      <w:szCs w:val="20"/>
    </w:rPr>
  </w:style>
  <w:style w:type="paragraph" w:customStyle="1" w:styleId="Quicka">
    <w:name w:val="Quick a."/>
    <w:basedOn w:val="Normal"/>
    <w:rsid w:val="008A3F08"/>
    <w:pPr>
      <w:widowControl w:val="0"/>
      <w:numPr>
        <w:numId w:val="25"/>
      </w:numPr>
      <w:ind w:left="810" w:hanging="360"/>
    </w:pPr>
    <w:rPr>
      <w:snapToGrid w:val="0"/>
      <w:szCs w:val="20"/>
    </w:rPr>
  </w:style>
  <w:style w:type="paragraph" w:customStyle="1" w:styleId="a">
    <w:name w:val="a"/>
    <w:aliases w:val="b,c"/>
    <w:basedOn w:val="Normal"/>
    <w:rsid w:val="008A3F08"/>
    <w:pPr>
      <w:widowControl w:val="0"/>
      <w:ind w:left="2160" w:hanging="720"/>
    </w:pPr>
    <w:rPr>
      <w:snapToGrid w:val="0"/>
      <w:szCs w:val="20"/>
    </w:rPr>
  </w:style>
  <w:style w:type="paragraph" w:styleId="Header">
    <w:name w:val="header"/>
    <w:basedOn w:val="Normal"/>
    <w:semiHidden/>
    <w:rsid w:val="008A3F08"/>
    <w:pPr>
      <w:tabs>
        <w:tab w:val="center" w:pos="4320"/>
        <w:tab w:val="right" w:pos="8640"/>
      </w:tabs>
    </w:pPr>
  </w:style>
  <w:style w:type="paragraph" w:styleId="BodyText3">
    <w:name w:val="Body Text 3"/>
    <w:basedOn w:val="Normal"/>
    <w:semiHidden/>
    <w:rsid w:val="008A3F08"/>
    <w:pPr>
      <w:autoSpaceDE w:val="0"/>
      <w:autoSpaceDN w:val="0"/>
      <w:adjustRightInd w:val="0"/>
      <w:jc w:val="both"/>
    </w:pPr>
    <w:rPr>
      <w:color w:val="000000"/>
    </w:rPr>
  </w:style>
  <w:style w:type="paragraph" w:styleId="BalloonText">
    <w:name w:val="Balloon Text"/>
    <w:basedOn w:val="Normal"/>
    <w:semiHidden/>
    <w:rsid w:val="008A3F08"/>
    <w:rPr>
      <w:rFonts w:ascii="Tahoma" w:hAnsi="Tahoma" w:cs="Tahoma"/>
      <w:sz w:val="16"/>
      <w:szCs w:val="16"/>
    </w:rPr>
  </w:style>
  <w:style w:type="character" w:customStyle="1" w:styleId="FooterChar">
    <w:name w:val="Footer Char"/>
    <w:basedOn w:val="DefaultParagraphFont"/>
    <w:link w:val="Footer"/>
    <w:uiPriority w:val="99"/>
    <w:rsid w:val="00253869"/>
    <w:rPr>
      <w:sz w:val="24"/>
      <w:szCs w:val="24"/>
    </w:rPr>
  </w:style>
  <w:style w:type="character" w:styleId="CommentReference">
    <w:name w:val="annotation reference"/>
    <w:basedOn w:val="DefaultParagraphFont"/>
    <w:semiHidden/>
    <w:rsid w:val="008A3F08"/>
    <w:rPr>
      <w:sz w:val="16"/>
      <w:szCs w:val="16"/>
    </w:rPr>
  </w:style>
  <w:style w:type="paragraph" w:styleId="CommentText">
    <w:name w:val="annotation text"/>
    <w:basedOn w:val="Normal"/>
    <w:semiHidden/>
    <w:rsid w:val="008A3F08"/>
    <w:rPr>
      <w:sz w:val="20"/>
      <w:szCs w:val="20"/>
    </w:rPr>
  </w:style>
  <w:style w:type="paragraph" w:styleId="CommentSubject">
    <w:name w:val="annotation subject"/>
    <w:basedOn w:val="CommentText"/>
    <w:next w:val="CommentText"/>
    <w:semiHidden/>
    <w:rsid w:val="008A3F08"/>
    <w:rPr>
      <w:b/>
      <w:bCs/>
    </w:rPr>
  </w:style>
  <w:style w:type="paragraph" w:styleId="NormalWeb">
    <w:name w:val="Normal (Web)"/>
    <w:basedOn w:val="Normal"/>
    <w:semiHidden/>
    <w:unhideWhenUsed/>
    <w:rsid w:val="008A3F08"/>
    <w:pPr>
      <w:spacing w:before="100" w:beforeAutospacing="1" w:after="100" w:afterAutospacing="1"/>
    </w:pPr>
  </w:style>
  <w:style w:type="paragraph" w:styleId="ListParagraph">
    <w:name w:val="List Paragraph"/>
    <w:basedOn w:val="Normal"/>
    <w:uiPriority w:val="34"/>
    <w:qFormat/>
    <w:rsid w:val="00701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B4B59-006E-437C-9620-375C18EA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20007</Words>
  <Characters>107452</Characters>
  <Application>Microsoft Office Word</Application>
  <DocSecurity>0</DocSecurity>
  <Lines>895</Lines>
  <Paragraphs>254</Paragraphs>
  <ScaleCrop>false</ScaleCrop>
  <HeadingPairs>
    <vt:vector size="2" baseType="variant">
      <vt:variant>
        <vt:lpstr>Title</vt:lpstr>
      </vt:variant>
      <vt:variant>
        <vt:i4>1</vt:i4>
      </vt:variant>
    </vt:vector>
  </HeadingPairs>
  <TitlesOfParts>
    <vt:vector size="1" baseType="lpstr">
      <vt:lpstr>Appendix III – Sample Admissions and Continued Occupancy: Page 246</vt:lpstr>
    </vt:vector>
  </TitlesOfParts>
  <Company>HADCO</Company>
  <LinksUpToDate>false</LinksUpToDate>
  <CharactersWithSpaces>127205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 Sample Admissions and Continued Occupancy: Page 246</dc:title>
  <dc:creator>JKohler</dc:creator>
  <cp:lastModifiedBy>Janeal Kohler</cp:lastModifiedBy>
  <cp:revision>2</cp:revision>
  <cp:lastPrinted>2013-03-20T15:02:00Z</cp:lastPrinted>
  <dcterms:created xsi:type="dcterms:W3CDTF">2016-04-14T21:59:00Z</dcterms:created>
  <dcterms:modified xsi:type="dcterms:W3CDTF">2016-04-14T21:59:00Z</dcterms:modified>
</cp:coreProperties>
</file>